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AFB84" w14:textId="77777777" w:rsidR="00FC29A9" w:rsidRDefault="00FC29A9" w:rsidP="00846321">
      <w:pPr>
        <w:pStyle w:val="Heading2"/>
        <w:spacing w:before="130"/>
        <w:ind w:left="101"/>
        <w:rPr>
          <w:color w:val="005EB8"/>
        </w:rPr>
      </w:pPr>
    </w:p>
    <w:p w14:paraId="2A997563" w14:textId="74CDEF87" w:rsidR="00846321" w:rsidRDefault="00846321" w:rsidP="00846321">
      <w:pPr>
        <w:pStyle w:val="Heading2"/>
        <w:spacing w:before="130"/>
        <w:ind w:left="101"/>
      </w:pPr>
      <w:r>
        <w:rPr>
          <w:color w:val="005EB8"/>
        </w:rPr>
        <w:t>Joint</w:t>
      </w:r>
      <w:r>
        <w:rPr>
          <w:color w:val="005EB8"/>
          <w:spacing w:val="-4"/>
        </w:rPr>
        <w:t xml:space="preserve"> </w:t>
      </w:r>
      <w:r>
        <w:rPr>
          <w:color w:val="005EB8"/>
        </w:rPr>
        <w:t>capital</w:t>
      </w:r>
      <w:r>
        <w:rPr>
          <w:color w:val="005EB8"/>
          <w:spacing w:val="-4"/>
        </w:rPr>
        <w:t xml:space="preserve"> </w:t>
      </w:r>
      <w:r>
        <w:rPr>
          <w:color w:val="005EB8"/>
        </w:rPr>
        <w:t>resource</w:t>
      </w:r>
      <w:r>
        <w:rPr>
          <w:color w:val="005EB8"/>
          <w:spacing w:val="-4"/>
        </w:rPr>
        <w:t xml:space="preserve"> </w:t>
      </w:r>
      <w:r>
        <w:rPr>
          <w:color w:val="005EB8"/>
        </w:rPr>
        <w:t>use</w:t>
      </w:r>
      <w:r>
        <w:rPr>
          <w:color w:val="005EB8"/>
          <w:spacing w:val="-3"/>
        </w:rPr>
        <w:t xml:space="preserve"> </w:t>
      </w:r>
      <w:r>
        <w:rPr>
          <w:color w:val="005EB8"/>
        </w:rPr>
        <w:t>plan</w:t>
      </w:r>
      <w:r>
        <w:rPr>
          <w:color w:val="005EB8"/>
          <w:spacing w:val="-5"/>
        </w:rPr>
        <w:t xml:space="preserve"> </w:t>
      </w:r>
      <w:r>
        <w:rPr>
          <w:color w:val="005EB8"/>
        </w:rPr>
        <w:t>2024/25</w:t>
      </w:r>
    </w:p>
    <w:p w14:paraId="5C392E08" w14:textId="77777777" w:rsidR="00846321" w:rsidRDefault="00846321" w:rsidP="00846321">
      <w:pPr>
        <w:pStyle w:val="BodyText"/>
        <w:spacing w:before="8"/>
        <w:rPr>
          <w:sz w:val="16"/>
        </w:rPr>
      </w:pPr>
    </w:p>
    <w:tbl>
      <w:tblPr>
        <w:tblW w:w="0" w:type="auto"/>
        <w:tblInd w:w="1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973"/>
        <w:gridCol w:w="6380"/>
      </w:tblGrid>
      <w:tr w:rsidR="00846321" w14:paraId="392E881F" w14:textId="77777777" w:rsidTr="007A3339">
        <w:trPr>
          <w:trHeight w:val="640"/>
        </w:trPr>
        <w:tc>
          <w:tcPr>
            <w:tcW w:w="2973" w:type="dxa"/>
            <w:shd w:val="clear" w:color="auto" w:fill="006FC0"/>
          </w:tcPr>
          <w:p w14:paraId="18A7C54C" w14:textId="77777777" w:rsidR="00846321" w:rsidRDefault="00846321" w:rsidP="007A3339">
            <w:pPr>
              <w:pStyle w:val="TableParagraph"/>
              <w:spacing w:before="85"/>
              <w:rPr>
                <w:b/>
                <w:sz w:val="24"/>
              </w:rPr>
            </w:pPr>
            <w:r>
              <w:rPr>
                <w:b/>
                <w:color w:val="FFFFFF"/>
                <w:spacing w:val="-2"/>
                <w:sz w:val="24"/>
              </w:rPr>
              <w:t>Region</w:t>
            </w:r>
          </w:p>
        </w:tc>
        <w:tc>
          <w:tcPr>
            <w:tcW w:w="6380" w:type="dxa"/>
          </w:tcPr>
          <w:p w14:paraId="7748A6A9" w14:textId="77777777" w:rsidR="00846321" w:rsidRPr="00433901" w:rsidRDefault="00846321" w:rsidP="007A3339">
            <w:pPr>
              <w:pStyle w:val="TableParagraph"/>
              <w:spacing w:before="85"/>
              <w:ind w:left="0"/>
              <w:rPr>
                <w:sz w:val="24"/>
                <w:szCs w:val="24"/>
              </w:rPr>
            </w:pPr>
            <w:r w:rsidRPr="00433901">
              <w:rPr>
                <w:sz w:val="24"/>
                <w:szCs w:val="24"/>
              </w:rPr>
              <w:t>Northwest</w:t>
            </w:r>
          </w:p>
        </w:tc>
      </w:tr>
      <w:tr w:rsidR="00846321" w14:paraId="4C5CD08A" w14:textId="77777777" w:rsidTr="007A3339">
        <w:trPr>
          <w:trHeight w:val="640"/>
        </w:trPr>
        <w:tc>
          <w:tcPr>
            <w:tcW w:w="2973" w:type="dxa"/>
            <w:shd w:val="clear" w:color="auto" w:fill="006FC0"/>
          </w:tcPr>
          <w:p w14:paraId="4928E84D" w14:textId="77777777" w:rsidR="00846321" w:rsidRDefault="00846321" w:rsidP="007A3339">
            <w:pPr>
              <w:pStyle w:val="TableParagraph"/>
              <w:spacing w:before="84"/>
              <w:rPr>
                <w:b/>
                <w:sz w:val="24"/>
              </w:rPr>
            </w:pPr>
            <w:r>
              <w:rPr>
                <w:b/>
                <w:color w:val="FFFFFF"/>
                <w:sz w:val="24"/>
              </w:rPr>
              <w:t>ICB</w:t>
            </w:r>
            <w:r>
              <w:rPr>
                <w:b/>
                <w:color w:val="FFFFFF"/>
                <w:spacing w:val="-2"/>
                <w:sz w:val="24"/>
              </w:rPr>
              <w:t xml:space="preserve"> </w:t>
            </w:r>
            <w:r>
              <w:rPr>
                <w:b/>
                <w:color w:val="FFFFFF"/>
                <w:sz w:val="24"/>
              </w:rPr>
              <w:t xml:space="preserve">/ </w:t>
            </w:r>
            <w:r>
              <w:rPr>
                <w:b/>
                <w:color w:val="FFFFFF"/>
                <w:spacing w:val="-2"/>
                <w:sz w:val="24"/>
              </w:rPr>
              <w:t>System</w:t>
            </w:r>
          </w:p>
        </w:tc>
        <w:tc>
          <w:tcPr>
            <w:tcW w:w="6380" w:type="dxa"/>
          </w:tcPr>
          <w:p w14:paraId="4164A00C" w14:textId="77777777" w:rsidR="00846321" w:rsidRPr="00433901" w:rsidRDefault="00846321" w:rsidP="007A3339">
            <w:pPr>
              <w:pStyle w:val="TableParagraph"/>
              <w:ind w:left="0"/>
              <w:rPr>
                <w:sz w:val="24"/>
                <w:szCs w:val="24"/>
              </w:rPr>
            </w:pPr>
            <w:r w:rsidRPr="00433901">
              <w:rPr>
                <w:sz w:val="24"/>
                <w:szCs w:val="24"/>
              </w:rPr>
              <w:t>NHS Lancashire and South Cumbria Integrated Care Board (ICB)</w:t>
            </w:r>
          </w:p>
        </w:tc>
      </w:tr>
      <w:tr w:rsidR="00846321" w14:paraId="56012E94" w14:textId="77777777" w:rsidTr="007A3339">
        <w:trPr>
          <w:trHeight w:val="639"/>
        </w:trPr>
        <w:tc>
          <w:tcPr>
            <w:tcW w:w="2973" w:type="dxa"/>
            <w:shd w:val="clear" w:color="auto" w:fill="006FC0"/>
          </w:tcPr>
          <w:p w14:paraId="1FB9125B" w14:textId="77777777" w:rsidR="00846321" w:rsidRDefault="00846321" w:rsidP="007A3339">
            <w:pPr>
              <w:pStyle w:val="TableParagraph"/>
              <w:spacing w:before="84"/>
              <w:rPr>
                <w:b/>
                <w:sz w:val="24"/>
              </w:rPr>
            </w:pPr>
            <w:r>
              <w:rPr>
                <w:b/>
                <w:color w:val="FFFFFF"/>
                <w:sz w:val="24"/>
              </w:rPr>
              <w:t>Date</w:t>
            </w:r>
            <w:r>
              <w:rPr>
                <w:b/>
                <w:color w:val="FFFFFF"/>
                <w:spacing w:val="-7"/>
                <w:sz w:val="24"/>
              </w:rPr>
              <w:t xml:space="preserve"> </w:t>
            </w:r>
            <w:r>
              <w:rPr>
                <w:b/>
                <w:color w:val="FFFFFF"/>
                <w:spacing w:val="-2"/>
                <w:sz w:val="24"/>
              </w:rPr>
              <w:t>published</w:t>
            </w:r>
          </w:p>
        </w:tc>
        <w:tc>
          <w:tcPr>
            <w:tcW w:w="6380" w:type="dxa"/>
          </w:tcPr>
          <w:p w14:paraId="1A01E6D5" w14:textId="4B48F8C9" w:rsidR="00846321" w:rsidRPr="00433901" w:rsidRDefault="00FC29A9" w:rsidP="007A3339">
            <w:pPr>
              <w:pStyle w:val="TableParagraph"/>
              <w:ind w:left="0"/>
              <w:rPr>
                <w:sz w:val="24"/>
                <w:szCs w:val="24"/>
              </w:rPr>
            </w:pPr>
            <w:r>
              <w:rPr>
                <w:sz w:val="24"/>
                <w:szCs w:val="24"/>
              </w:rPr>
              <w:t>22</w:t>
            </w:r>
            <w:r>
              <w:rPr>
                <w:sz w:val="24"/>
                <w:szCs w:val="24"/>
                <w:vertAlign w:val="superscript"/>
              </w:rPr>
              <w:t>nd</w:t>
            </w:r>
            <w:r w:rsidR="00846321">
              <w:rPr>
                <w:sz w:val="24"/>
                <w:szCs w:val="24"/>
              </w:rPr>
              <w:t xml:space="preserve"> July 2024</w:t>
            </w:r>
          </w:p>
        </w:tc>
      </w:tr>
      <w:tr w:rsidR="00846321" w14:paraId="779A688A" w14:textId="77777777" w:rsidTr="007A3339">
        <w:trPr>
          <w:trHeight w:val="640"/>
        </w:trPr>
        <w:tc>
          <w:tcPr>
            <w:tcW w:w="2973" w:type="dxa"/>
            <w:shd w:val="clear" w:color="auto" w:fill="006FC0"/>
          </w:tcPr>
          <w:p w14:paraId="0664BC43" w14:textId="77777777" w:rsidR="00846321" w:rsidRDefault="00846321" w:rsidP="007A3339">
            <w:pPr>
              <w:pStyle w:val="TableParagraph"/>
              <w:spacing w:before="85"/>
              <w:rPr>
                <w:b/>
                <w:sz w:val="24"/>
              </w:rPr>
            </w:pPr>
            <w:r>
              <w:rPr>
                <w:b/>
                <w:color w:val="FFFFFF"/>
                <w:spacing w:val="-2"/>
                <w:sz w:val="24"/>
              </w:rPr>
              <w:t>Version</w:t>
            </w:r>
          </w:p>
        </w:tc>
        <w:tc>
          <w:tcPr>
            <w:tcW w:w="6380" w:type="dxa"/>
          </w:tcPr>
          <w:p w14:paraId="6196F74E" w14:textId="77777777" w:rsidR="00846321" w:rsidRPr="00433901" w:rsidRDefault="00846321" w:rsidP="007A3339">
            <w:pPr>
              <w:pStyle w:val="TableParagraph"/>
              <w:ind w:left="0"/>
              <w:rPr>
                <w:sz w:val="24"/>
                <w:szCs w:val="24"/>
              </w:rPr>
            </w:pPr>
            <w:r w:rsidRPr="00433901">
              <w:rPr>
                <w:sz w:val="24"/>
                <w:szCs w:val="24"/>
              </w:rPr>
              <w:t>Final</w:t>
            </w:r>
          </w:p>
        </w:tc>
      </w:tr>
    </w:tbl>
    <w:p w14:paraId="79A963F9" w14:textId="77777777" w:rsidR="00846321" w:rsidRDefault="00846321" w:rsidP="00846321">
      <w:pPr>
        <w:pStyle w:val="BodyText"/>
        <w:rPr>
          <w:sz w:val="20"/>
        </w:rPr>
      </w:pPr>
    </w:p>
    <w:p w14:paraId="726D52BF" w14:textId="77777777" w:rsidR="00846321" w:rsidRDefault="00846321" w:rsidP="00846321">
      <w:pPr>
        <w:pStyle w:val="BodyText"/>
        <w:spacing w:before="181" w:after="1"/>
        <w:rPr>
          <w:sz w:val="20"/>
        </w:rPr>
      </w:pPr>
    </w:p>
    <w:tbl>
      <w:tblPr>
        <w:tblW w:w="9774" w:type="dxa"/>
        <w:tblInd w:w="1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774"/>
      </w:tblGrid>
      <w:tr w:rsidR="00846321" w14:paraId="6058AD54" w14:textId="77777777" w:rsidTr="007A3339">
        <w:trPr>
          <w:trHeight w:val="639"/>
        </w:trPr>
        <w:tc>
          <w:tcPr>
            <w:tcW w:w="9774" w:type="dxa"/>
            <w:shd w:val="clear" w:color="auto" w:fill="006FC0"/>
          </w:tcPr>
          <w:p w14:paraId="670C5D00" w14:textId="77777777" w:rsidR="00846321" w:rsidRDefault="00846321" w:rsidP="007A3339">
            <w:pPr>
              <w:pStyle w:val="TableParagraph"/>
              <w:spacing w:before="84"/>
              <w:rPr>
                <w:b/>
                <w:sz w:val="24"/>
              </w:rPr>
            </w:pPr>
            <w:r>
              <w:rPr>
                <w:b/>
                <w:color w:val="FFFFFF"/>
                <w:spacing w:val="-2"/>
                <w:sz w:val="24"/>
              </w:rPr>
              <w:t>Introduction</w:t>
            </w:r>
          </w:p>
        </w:tc>
      </w:tr>
      <w:tr w:rsidR="00846321" w:rsidRPr="006F167D" w14:paraId="67292A51" w14:textId="77777777" w:rsidTr="006F167D">
        <w:trPr>
          <w:trHeight w:val="1969"/>
        </w:trPr>
        <w:tc>
          <w:tcPr>
            <w:tcW w:w="9774" w:type="dxa"/>
          </w:tcPr>
          <w:p w14:paraId="6B900B5F" w14:textId="77777777" w:rsidR="00846321" w:rsidRPr="006F167D" w:rsidRDefault="00846321" w:rsidP="006F167D">
            <w:pPr>
              <w:pStyle w:val="TableParagraph"/>
              <w:tabs>
                <w:tab w:val="left" w:pos="828"/>
              </w:tabs>
              <w:ind w:right="250"/>
              <w:jc w:val="both"/>
            </w:pPr>
            <w:r w:rsidRPr="006F167D">
              <w:t>The Lancashire and South Cumbria Integrated Care Board (ICB) was established on 1 July 2022 under the Government’s Health and Care Act 2022. It is one of 42 ICBs in the country and replaced the eight clinical commissioning groups (or CCGs) that previously existed across the region. The ICB has since taken on responsibility for planning and buying NHS services for the 1.8million people living in Lancashire and South Cumbria.</w:t>
            </w:r>
          </w:p>
          <w:p w14:paraId="10113E31" w14:textId="77777777" w:rsidR="00846321" w:rsidRPr="006F167D" w:rsidRDefault="00846321" w:rsidP="007A3339">
            <w:pPr>
              <w:pStyle w:val="TableParagraph"/>
              <w:tabs>
                <w:tab w:val="left" w:pos="828"/>
              </w:tabs>
              <w:ind w:left="827" w:right="250"/>
              <w:jc w:val="both"/>
            </w:pPr>
          </w:p>
          <w:p w14:paraId="008B88E4" w14:textId="77777777" w:rsidR="00846321" w:rsidRPr="006F167D" w:rsidRDefault="00846321" w:rsidP="006F167D">
            <w:pPr>
              <w:pStyle w:val="TableParagraph"/>
              <w:tabs>
                <w:tab w:val="left" w:pos="828"/>
              </w:tabs>
              <w:ind w:right="250"/>
              <w:jc w:val="both"/>
            </w:pPr>
            <w:r w:rsidRPr="006F167D">
              <w:t>The NHS Trusts and NHS Foundation Trusts that form part of the ICB are as follows:</w:t>
            </w:r>
          </w:p>
          <w:p w14:paraId="55D5B4DE" w14:textId="77777777" w:rsidR="00846321" w:rsidRPr="006F167D" w:rsidRDefault="00846321" w:rsidP="007D6C00">
            <w:pPr>
              <w:pStyle w:val="TableParagraph"/>
              <w:numPr>
                <w:ilvl w:val="0"/>
                <w:numId w:val="8"/>
              </w:numPr>
              <w:spacing w:before="106"/>
              <w:rPr>
                <w:spacing w:val="-2"/>
              </w:rPr>
            </w:pPr>
            <w:r w:rsidRPr="006F167D">
              <w:rPr>
                <w:spacing w:val="-2"/>
              </w:rPr>
              <w:t xml:space="preserve">Blackpool Teaching Hospitals NHS Foundation </w:t>
            </w:r>
            <w:proofErr w:type="gramStart"/>
            <w:r w:rsidRPr="006F167D">
              <w:rPr>
                <w:spacing w:val="-2"/>
              </w:rPr>
              <w:t>Trust;</w:t>
            </w:r>
            <w:proofErr w:type="gramEnd"/>
          </w:p>
          <w:p w14:paraId="02887EC7" w14:textId="77777777" w:rsidR="00846321" w:rsidRPr="006F167D" w:rsidRDefault="00846321" w:rsidP="007D6C00">
            <w:pPr>
              <w:pStyle w:val="TableParagraph"/>
              <w:numPr>
                <w:ilvl w:val="0"/>
                <w:numId w:val="8"/>
              </w:numPr>
              <w:spacing w:before="106"/>
              <w:rPr>
                <w:spacing w:val="-2"/>
              </w:rPr>
            </w:pPr>
            <w:r w:rsidRPr="006F167D">
              <w:rPr>
                <w:spacing w:val="-2"/>
              </w:rPr>
              <w:t xml:space="preserve">East Lancashire Hospitals NHS </w:t>
            </w:r>
            <w:proofErr w:type="gramStart"/>
            <w:r w:rsidRPr="006F167D">
              <w:rPr>
                <w:spacing w:val="-2"/>
              </w:rPr>
              <w:t>Trust;</w:t>
            </w:r>
            <w:proofErr w:type="gramEnd"/>
          </w:p>
          <w:p w14:paraId="49744F84" w14:textId="77777777" w:rsidR="00846321" w:rsidRPr="006F167D" w:rsidRDefault="00846321" w:rsidP="007D6C00">
            <w:pPr>
              <w:pStyle w:val="TableParagraph"/>
              <w:numPr>
                <w:ilvl w:val="0"/>
                <w:numId w:val="8"/>
              </w:numPr>
              <w:spacing w:before="106"/>
              <w:rPr>
                <w:spacing w:val="-2"/>
              </w:rPr>
            </w:pPr>
            <w:r w:rsidRPr="006F167D">
              <w:rPr>
                <w:spacing w:val="-2"/>
              </w:rPr>
              <w:t xml:space="preserve">Lancashire and South Cumbria NHS Foundation </w:t>
            </w:r>
            <w:proofErr w:type="gramStart"/>
            <w:r w:rsidRPr="006F167D">
              <w:rPr>
                <w:spacing w:val="-2"/>
              </w:rPr>
              <w:t>Trust;</w:t>
            </w:r>
            <w:proofErr w:type="gramEnd"/>
          </w:p>
          <w:p w14:paraId="0E1B4FC7" w14:textId="77777777" w:rsidR="00846321" w:rsidRPr="006F167D" w:rsidRDefault="00846321" w:rsidP="007D6C00">
            <w:pPr>
              <w:pStyle w:val="TableParagraph"/>
              <w:numPr>
                <w:ilvl w:val="0"/>
                <w:numId w:val="8"/>
              </w:numPr>
              <w:spacing w:before="106"/>
              <w:rPr>
                <w:spacing w:val="-2"/>
              </w:rPr>
            </w:pPr>
            <w:r w:rsidRPr="006F167D">
              <w:rPr>
                <w:spacing w:val="-2"/>
              </w:rPr>
              <w:t xml:space="preserve">Lancashire Teaching Hospitals NHS Foundation </w:t>
            </w:r>
            <w:proofErr w:type="gramStart"/>
            <w:r w:rsidRPr="006F167D">
              <w:rPr>
                <w:spacing w:val="-2"/>
              </w:rPr>
              <w:t>Trust;</w:t>
            </w:r>
            <w:proofErr w:type="gramEnd"/>
          </w:p>
          <w:p w14:paraId="48D04116" w14:textId="77777777" w:rsidR="00846321" w:rsidRPr="006F167D" w:rsidRDefault="00846321" w:rsidP="007D6C00">
            <w:pPr>
              <w:pStyle w:val="TableParagraph"/>
              <w:numPr>
                <w:ilvl w:val="0"/>
                <w:numId w:val="8"/>
              </w:numPr>
              <w:spacing w:before="106"/>
              <w:rPr>
                <w:spacing w:val="-2"/>
              </w:rPr>
            </w:pPr>
            <w:proofErr w:type="gramStart"/>
            <w:r w:rsidRPr="006F167D">
              <w:rPr>
                <w:spacing w:val="-2"/>
              </w:rPr>
              <w:t>North West</w:t>
            </w:r>
            <w:proofErr w:type="gramEnd"/>
            <w:r w:rsidRPr="006F167D">
              <w:rPr>
                <w:spacing w:val="-2"/>
              </w:rPr>
              <w:t xml:space="preserve"> Ambulance Service NHS Trust, and</w:t>
            </w:r>
          </w:p>
          <w:p w14:paraId="785DC0E1" w14:textId="77777777" w:rsidR="00846321" w:rsidRPr="006F167D" w:rsidRDefault="00846321" w:rsidP="007D6C00">
            <w:pPr>
              <w:pStyle w:val="TableParagraph"/>
              <w:numPr>
                <w:ilvl w:val="0"/>
                <w:numId w:val="8"/>
              </w:numPr>
              <w:spacing w:before="106"/>
              <w:rPr>
                <w:spacing w:val="-2"/>
              </w:rPr>
            </w:pPr>
            <w:r w:rsidRPr="006F167D">
              <w:rPr>
                <w:spacing w:val="-2"/>
              </w:rPr>
              <w:t>University Hospitals of Morecambe Bay NHS Foundation Trust.</w:t>
            </w:r>
          </w:p>
          <w:p w14:paraId="3FBD7A6A" w14:textId="77777777" w:rsidR="00846321" w:rsidRPr="006F167D" w:rsidRDefault="00846321" w:rsidP="007A3339">
            <w:pPr>
              <w:pStyle w:val="TableParagraph"/>
              <w:tabs>
                <w:tab w:val="left" w:pos="828"/>
              </w:tabs>
              <w:ind w:left="828" w:right="250"/>
              <w:jc w:val="both"/>
            </w:pPr>
          </w:p>
          <w:p w14:paraId="630E05F4" w14:textId="77777777" w:rsidR="00846321" w:rsidRPr="006F167D" w:rsidRDefault="00846321" w:rsidP="006F167D">
            <w:pPr>
              <w:pStyle w:val="TableParagraph"/>
              <w:tabs>
                <w:tab w:val="left" w:pos="828"/>
              </w:tabs>
              <w:ind w:right="253"/>
              <w:jc w:val="both"/>
            </w:pPr>
            <w:r w:rsidRPr="006F167D">
              <w:t xml:space="preserve">Lancashire and South Cumbria ICB has an ICS-wide Infrastructure Strategy 2024 – 2040 that sets out the longer-term vision of the infrastructure / estate. It was endorsed by the ICB Board in January 2024.  </w:t>
            </w:r>
            <w:hyperlink r:id="rId11" w:history="1">
              <w:r w:rsidRPr="006F167D">
                <w:rPr>
                  <w:rStyle w:val="Hyperlink"/>
                </w:rPr>
                <w:t xml:space="preserve">LSC Integrated Care </w:t>
              </w:r>
              <w:proofErr w:type="gramStart"/>
              <w:r w:rsidRPr="006F167D">
                <w:rPr>
                  <w:rStyle w:val="Hyperlink"/>
                </w:rPr>
                <w:t>Board :</w:t>
              </w:r>
              <w:proofErr w:type="gramEnd"/>
              <w:r w:rsidRPr="006F167D">
                <w:rPr>
                  <w:rStyle w:val="Hyperlink"/>
                </w:rPr>
                <w:t>: Infrastructure Strategy 2024-2040 (icb.nhs.uk)</w:t>
              </w:r>
            </w:hyperlink>
          </w:p>
          <w:p w14:paraId="2DB50513" w14:textId="77777777" w:rsidR="006F167D" w:rsidRDefault="006F167D" w:rsidP="006F167D">
            <w:pPr>
              <w:pStyle w:val="TableParagraph"/>
              <w:tabs>
                <w:tab w:val="left" w:pos="828"/>
              </w:tabs>
              <w:ind w:right="253"/>
              <w:jc w:val="both"/>
            </w:pPr>
          </w:p>
          <w:p w14:paraId="25B5B2CD" w14:textId="77777777" w:rsidR="006F167D" w:rsidRDefault="00846321" w:rsidP="006F167D">
            <w:pPr>
              <w:pStyle w:val="TableParagraph"/>
              <w:tabs>
                <w:tab w:val="left" w:pos="828"/>
              </w:tabs>
              <w:ind w:right="253"/>
              <w:jc w:val="both"/>
            </w:pPr>
            <w:r w:rsidRPr="006F167D">
              <w:t>The key strategic priorities for 2024/25 are the new learning disability and autism facility lead by Lancashire and South Cumbria Foundation Trust as well as the completion of the elective recovery and Community Diagnostic Centre schemes started in 2023/24. Further priorities are the implementation of electronic patient record systems where these are not currently present or fit for purpose as well as reducing backlog maintenance in Trust estates. Funding is also anticipated for the continued development of the business case to replace The Royal Preston and Lancaster Royal Infirmary sites as part of the New Hospital Program.</w:t>
            </w:r>
          </w:p>
          <w:p w14:paraId="7B9829AD" w14:textId="77777777" w:rsidR="006F167D" w:rsidRDefault="006F167D" w:rsidP="006F167D">
            <w:pPr>
              <w:pStyle w:val="TableParagraph"/>
              <w:tabs>
                <w:tab w:val="left" w:pos="828"/>
              </w:tabs>
              <w:ind w:right="253"/>
              <w:jc w:val="both"/>
            </w:pPr>
          </w:p>
          <w:p w14:paraId="0FD59B09" w14:textId="4699211D" w:rsidR="00846321" w:rsidRPr="006F167D" w:rsidRDefault="00846321" w:rsidP="006F167D">
            <w:pPr>
              <w:pStyle w:val="TableParagraph"/>
              <w:tabs>
                <w:tab w:val="left" w:pos="828"/>
              </w:tabs>
              <w:ind w:right="253"/>
              <w:jc w:val="both"/>
            </w:pPr>
            <w:r w:rsidRPr="006F167D">
              <w:t xml:space="preserve">The strategic </w:t>
            </w:r>
            <w:proofErr w:type="gramStart"/>
            <w:r w:rsidRPr="006F167D">
              <w:t>estates</w:t>
            </w:r>
            <w:proofErr w:type="gramEnd"/>
            <w:r w:rsidRPr="006F167D">
              <w:t xml:space="preserve"> role in the ICB sits with the Director of Strategic Estates, Infrastructure and Sustainability. There is a small Strategic Estates Team supporting this function which also includes some staff who have a specific role supporting the estates planning function for Primary Care. The Strategic Estates function is supporting the re-establishment of Strategic Infrastructure Groups at PLACE and working with the PLACE agenda for planning and overseeing the infrastructure elements for service planning and transformation. </w:t>
            </w:r>
          </w:p>
          <w:p w14:paraId="37042FB6" w14:textId="77777777" w:rsidR="006F167D" w:rsidRDefault="006F167D" w:rsidP="006F167D">
            <w:pPr>
              <w:pStyle w:val="TableParagraph"/>
              <w:tabs>
                <w:tab w:val="left" w:pos="828"/>
              </w:tabs>
              <w:ind w:right="173"/>
              <w:jc w:val="both"/>
            </w:pPr>
          </w:p>
          <w:p w14:paraId="4576F3A6" w14:textId="4757A65F" w:rsidR="00846321" w:rsidRDefault="00846321" w:rsidP="006F167D">
            <w:pPr>
              <w:pStyle w:val="TableParagraph"/>
              <w:tabs>
                <w:tab w:val="left" w:pos="828"/>
              </w:tabs>
              <w:ind w:right="173"/>
              <w:jc w:val="both"/>
            </w:pPr>
            <w:r w:rsidRPr="006F167D">
              <w:t xml:space="preserve">The Infrastructure Strategy sets out some of the longer-term plans across the system and associated investment required to deliver these. The availability of capital and investment and the timing of that availability will determine the progress / speed of transformation and service change. Capital Planning at System considers </w:t>
            </w:r>
            <w:proofErr w:type="spellStart"/>
            <w:r w:rsidRPr="006F167D">
              <w:t>organi</w:t>
            </w:r>
            <w:r w:rsidR="009156BC">
              <w:t>s</w:t>
            </w:r>
            <w:r w:rsidRPr="006F167D">
              <w:t>ation</w:t>
            </w:r>
            <w:proofErr w:type="spellEnd"/>
            <w:r w:rsidRPr="006F167D">
              <w:t xml:space="preserve"> pressures, Trust wants and needs, backlog / C</w:t>
            </w:r>
            <w:r w:rsidR="00F42109">
              <w:t xml:space="preserve">ritical </w:t>
            </w:r>
            <w:r w:rsidRPr="006F167D">
              <w:t>I</w:t>
            </w:r>
            <w:r w:rsidR="00F42109">
              <w:t xml:space="preserve">nfrastructure </w:t>
            </w:r>
            <w:r w:rsidRPr="006F167D">
              <w:t>R</w:t>
            </w:r>
            <w:r w:rsidR="00F42109">
              <w:t>isk</w:t>
            </w:r>
            <w:r w:rsidRPr="006F167D">
              <w:t xml:space="preserve"> / infrastructure risk reduction amongst </w:t>
            </w:r>
            <w:proofErr w:type="gramStart"/>
            <w:r w:rsidRPr="006F167D">
              <w:t>a number of</w:t>
            </w:r>
            <w:proofErr w:type="gramEnd"/>
            <w:r w:rsidRPr="006F167D">
              <w:t xml:space="preserve"> measures.</w:t>
            </w:r>
          </w:p>
          <w:p w14:paraId="4B03ADA3" w14:textId="77777777" w:rsidR="006F167D" w:rsidRPr="006F167D" w:rsidRDefault="006F167D" w:rsidP="006F167D">
            <w:pPr>
              <w:pStyle w:val="TableParagraph"/>
              <w:tabs>
                <w:tab w:val="left" w:pos="828"/>
              </w:tabs>
              <w:ind w:right="173"/>
              <w:jc w:val="both"/>
            </w:pPr>
          </w:p>
        </w:tc>
      </w:tr>
    </w:tbl>
    <w:p w14:paraId="3149590B" w14:textId="77777777" w:rsidR="00846321" w:rsidRPr="006F167D" w:rsidRDefault="00846321" w:rsidP="00846321">
      <w:pPr>
        <w:pStyle w:val="BodyText"/>
        <w:spacing w:before="180"/>
        <w:rPr>
          <w:sz w:val="22"/>
        </w:rPr>
      </w:pPr>
    </w:p>
    <w:tbl>
      <w:tblPr>
        <w:tblW w:w="9807" w:type="dxa"/>
        <w:tblInd w:w="1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807"/>
      </w:tblGrid>
      <w:tr w:rsidR="00846321" w:rsidRPr="006F167D" w14:paraId="49A05DAE" w14:textId="77777777" w:rsidTr="007A3339">
        <w:trPr>
          <w:trHeight w:val="640"/>
        </w:trPr>
        <w:tc>
          <w:tcPr>
            <w:tcW w:w="9807" w:type="dxa"/>
            <w:shd w:val="clear" w:color="auto" w:fill="006FC0"/>
          </w:tcPr>
          <w:p w14:paraId="5266B7A7" w14:textId="77777777" w:rsidR="00846321" w:rsidRPr="006F167D" w:rsidRDefault="00846321" w:rsidP="007A3339">
            <w:pPr>
              <w:pStyle w:val="TableParagraph"/>
              <w:spacing w:before="85"/>
              <w:rPr>
                <w:b/>
              </w:rPr>
            </w:pPr>
            <w:r w:rsidRPr="006F167D">
              <w:rPr>
                <w:b/>
                <w:color w:val="FFFFFF"/>
              </w:rPr>
              <w:t>2024/25</w:t>
            </w:r>
            <w:r w:rsidRPr="006F167D">
              <w:rPr>
                <w:b/>
                <w:color w:val="FFFFFF"/>
                <w:spacing w:val="-5"/>
              </w:rPr>
              <w:t xml:space="preserve"> </w:t>
            </w:r>
            <w:r w:rsidRPr="006F167D">
              <w:rPr>
                <w:b/>
                <w:color w:val="FFFFFF"/>
              </w:rPr>
              <w:t>CDEL</w:t>
            </w:r>
            <w:r w:rsidRPr="006F167D">
              <w:rPr>
                <w:b/>
                <w:color w:val="FFFFFF"/>
                <w:spacing w:val="-4"/>
              </w:rPr>
              <w:t xml:space="preserve"> </w:t>
            </w:r>
            <w:r w:rsidRPr="006F167D">
              <w:rPr>
                <w:b/>
                <w:color w:val="FFFFFF"/>
              </w:rPr>
              <w:t>allocations</w:t>
            </w:r>
            <w:r w:rsidRPr="006F167D">
              <w:rPr>
                <w:b/>
                <w:color w:val="FFFFFF"/>
                <w:spacing w:val="-5"/>
              </w:rPr>
              <w:t xml:space="preserve"> </w:t>
            </w:r>
            <w:r w:rsidRPr="006F167D">
              <w:rPr>
                <w:b/>
                <w:color w:val="FFFFFF"/>
              </w:rPr>
              <w:t>and</w:t>
            </w:r>
            <w:r w:rsidRPr="006F167D">
              <w:rPr>
                <w:b/>
                <w:color w:val="FFFFFF"/>
                <w:spacing w:val="-5"/>
              </w:rPr>
              <w:t xml:space="preserve"> </w:t>
            </w:r>
            <w:r w:rsidRPr="006F167D">
              <w:rPr>
                <w:b/>
                <w:color w:val="FFFFFF"/>
              </w:rPr>
              <w:t>sources</w:t>
            </w:r>
            <w:r w:rsidRPr="006F167D">
              <w:rPr>
                <w:b/>
                <w:color w:val="FFFFFF"/>
                <w:spacing w:val="-5"/>
              </w:rPr>
              <w:t xml:space="preserve"> </w:t>
            </w:r>
            <w:r w:rsidRPr="006F167D">
              <w:rPr>
                <w:b/>
                <w:color w:val="FFFFFF"/>
              </w:rPr>
              <w:t>of</w:t>
            </w:r>
            <w:r w:rsidRPr="006F167D">
              <w:rPr>
                <w:b/>
                <w:color w:val="FFFFFF"/>
                <w:spacing w:val="-3"/>
              </w:rPr>
              <w:t xml:space="preserve"> </w:t>
            </w:r>
            <w:r w:rsidRPr="006F167D">
              <w:rPr>
                <w:b/>
                <w:color w:val="FFFFFF"/>
                <w:spacing w:val="-2"/>
              </w:rPr>
              <w:t>funding</w:t>
            </w:r>
          </w:p>
        </w:tc>
      </w:tr>
      <w:tr w:rsidR="00846321" w:rsidRPr="006F167D" w14:paraId="07C3CFD6" w14:textId="77777777" w:rsidTr="006F167D">
        <w:trPr>
          <w:trHeight w:val="8244"/>
        </w:trPr>
        <w:tc>
          <w:tcPr>
            <w:tcW w:w="9807" w:type="dxa"/>
          </w:tcPr>
          <w:p w14:paraId="2836B826" w14:textId="77777777" w:rsidR="00846321" w:rsidRPr="006F167D" w:rsidRDefault="00846321" w:rsidP="006F167D">
            <w:pPr>
              <w:widowControl w:val="0"/>
              <w:autoSpaceDE w:val="0"/>
              <w:autoSpaceDN w:val="0"/>
              <w:spacing w:after="0" w:line="240" w:lineRule="auto"/>
              <w:rPr>
                <w:sz w:val="22"/>
              </w:rPr>
            </w:pPr>
            <w:r w:rsidRPr="006F167D">
              <w:rPr>
                <w:sz w:val="22"/>
              </w:rPr>
              <w:t>The ICB has been allocated the following operational capital allocations for 2024/25 by NHS England (NHSE).  Public Dividend Capital (PDC) funded schemes sit outside of the operational capital envelope:</w:t>
            </w:r>
          </w:p>
          <w:p w14:paraId="56435EC6" w14:textId="77777777" w:rsidR="00846321" w:rsidRPr="006F167D" w:rsidRDefault="00846321" w:rsidP="007A3339">
            <w:pPr>
              <w:rPr>
                <w:sz w:val="22"/>
              </w:rPr>
            </w:pPr>
          </w:p>
          <w:p w14:paraId="7197AB04" w14:textId="77777777" w:rsidR="00846321" w:rsidRPr="006F167D" w:rsidRDefault="00846321" w:rsidP="007D6C00">
            <w:pPr>
              <w:pStyle w:val="TableParagraph"/>
              <w:numPr>
                <w:ilvl w:val="0"/>
                <w:numId w:val="8"/>
              </w:numPr>
              <w:spacing w:before="106"/>
              <w:rPr>
                <w:spacing w:val="-2"/>
              </w:rPr>
            </w:pPr>
            <w:r w:rsidRPr="006F167D">
              <w:rPr>
                <w:spacing w:val="-2"/>
              </w:rPr>
              <w:t>Provider allocation £92.8m</w:t>
            </w:r>
          </w:p>
          <w:p w14:paraId="6288B788" w14:textId="77777777" w:rsidR="00846321" w:rsidRPr="006F167D" w:rsidRDefault="00846321" w:rsidP="007D6C00">
            <w:pPr>
              <w:pStyle w:val="TableParagraph"/>
              <w:numPr>
                <w:ilvl w:val="0"/>
                <w:numId w:val="8"/>
              </w:numPr>
              <w:spacing w:before="106"/>
              <w:rPr>
                <w:spacing w:val="-2"/>
              </w:rPr>
            </w:pPr>
            <w:r w:rsidRPr="006F167D">
              <w:rPr>
                <w:spacing w:val="-2"/>
              </w:rPr>
              <w:t>ICB allocation £3.1m</w:t>
            </w:r>
          </w:p>
          <w:p w14:paraId="31F5B8A5" w14:textId="77777777" w:rsidR="00846321" w:rsidRPr="006F167D" w:rsidRDefault="00846321" w:rsidP="007D6C00">
            <w:pPr>
              <w:pStyle w:val="TableParagraph"/>
              <w:numPr>
                <w:ilvl w:val="0"/>
                <w:numId w:val="8"/>
              </w:numPr>
              <w:spacing w:before="106"/>
              <w:rPr>
                <w:spacing w:val="-2"/>
              </w:rPr>
            </w:pPr>
            <w:r w:rsidRPr="006F167D">
              <w:rPr>
                <w:spacing w:val="-2"/>
              </w:rPr>
              <w:t>Total allocation £95.9m</w:t>
            </w:r>
          </w:p>
          <w:p w14:paraId="3AB95C6C" w14:textId="77777777" w:rsidR="00846321" w:rsidRPr="006F167D" w:rsidRDefault="00846321" w:rsidP="007A3339">
            <w:pPr>
              <w:rPr>
                <w:sz w:val="22"/>
              </w:rPr>
            </w:pPr>
          </w:p>
          <w:p w14:paraId="5518B765" w14:textId="6C8D9CA4" w:rsidR="000229A7" w:rsidRPr="00C15048" w:rsidRDefault="000229A7" w:rsidP="006F167D">
            <w:pPr>
              <w:widowControl w:val="0"/>
              <w:autoSpaceDE w:val="0"/>
              <w:autoSpaceDN w:val="0"/>
              <w:spacing w:after="0" w:line="240" w:lineRule="auto"/>
              <w:rPr>
                <w:sz w:val="22"/>
              </w:rPr>
            </w:pPr>
            <w:r w:rsidRPr="00C15048">
              <w:rPr>
                <w:sz w:val="22"/>
              </w:rPr>
              <w:t>The allocation above includes a £10m reductio</w:t>
            </w:r>
            <w:r w:rsidR="009156BC" w:rsidRPr="00C15048">
              <w:rPr>
                <w:sz w:val="22"/>
              </w:rPr>
              <w:t xml:space="preserve">n in the operational capital envelope because of the system having a planned revenue deficit in 2024/25. </w:t>
            </w:r>
          </w:p>
          <w:p w14:paraId="26493532" w14:textId="77777777" w:rsidR="006F167D" w:rsidRDefault="006F167D" w:rsidP="006F167D">
            <w:pPr>
              <w:widowControl w:val="0"/>
              <w:autoSpaceDE w:val="0"/>
              <w:autoSpaceDN w:val="0"/>
              <w:spacing w:after="0" w:line="240" w:lineRule="auto"/>
              <w:rPr>
                <w:sz w:val="22"/>
              </w:rPr>
            </w:pPr>
          </w:p>
          <w:p w14:paraId="741B63D6" w14:textId="6AE5985E" w:rsidR="00846321" w:rsidRPr="006F167D" w:rsidRDefault="00846321" w:rsidP="006F167D">
            <w:pPr>
              <w:widowControl w:val="0"/>
              <w:autoSpaceDE w:val="0"/>
              <w:autoSpaceDN w:val="0"/>
              <w:spacing w:after="0" w:line="240" w:lineRule="auto"/>
              <w:rPr>
                <w:sz w:val="22"/>
              </w:rPr>
            </w:pPr>
            <w:r w:rsidRPr="006F167D">
              <w:rPr>
                <w:sz w:val="22"/>
              </w:rPr>
              <w:t xml:space="preserve">The </w:t>
            </w:r>
            <w:r w:rsidR="006F167D">
              <w:rPr>
                <w:sz w:val="22"/>
              </w:rPr>
              <w:t xml:space="preserve">final </w:t>
            </w:r>
            <w:r w:rsidRPr="006F167D">
              <w:rPr>
                <w:sz w:val="22"/>
              </w:rPr>
              <w:t>allocation for I</w:t>
            </w:r>
            <w:r w:rsidR="00F42109">
              <w:rPr>
                <w:sz w:val="22"/>
              </w:rPr>
              <w:t xml:space="preserve">nternational </w:t>
            </w:r>
            <w:r w:rsidRPr="006F167D">
              <w:rPr>
                <w:sz w:val="22"/>
              </w:rPr>
              <w:t>F</w:t>
            </w:r>
            <w:r w:rsidR="00F42109">
              <w:rPr>
                <w:sz w:val="22"/>
              </w:rPr>
              <w:t xml:space="preserve">inancial </w:t>
            </w:r>
            <w:r w:rsidRPr="006F167D">
              <w:rPr>
                <w:sz w:val="22"/>
              </w:rPr>
              <w:t>R</w:t>
            </w:r>
            <w:r w:rsidR="00F42109">
              <w:rPr>
                <w:sz w:val="22"/>
              </w:rPr>
              <w:t xml:space="preserve">eporting </w:t>
            </w:r>
            <w:r w:rsidRPr="006F167D">
              <w:rPr>
                <w:sz w:val="22"/>
              </w:rPr>
              <w:t>S</w:t>
            </w:r>
            <w:r w:rsidR="00F42109">
              <w:rPr>
                <w:sz w:val="22"/>
              </w:rPr>
              <w:t xml:space="preserve">tandard </w:t>
            </w:r>
            <w:r w:rsidRPr="006F167D">
              <w:rPr>
                <w:sz w:val="22"/>
              </w:rPr>
              <w:t>16 (</w:t>
            </w:r>
            <w:r w:rsidR="00F42109">
              <w:rPr>
                <w:sz w:val="22"/>
              </w:rPr>
              <w:t xml:space="preserve">IFRS16 - </w:t>
            </w:r>
            <w:r w:rsidRPr="006F167D">
              <w:rPr>
                <w:sz w:val="22"/>
              </w:rPr>
              <w:t>lease expenditure) is still to be confirmed by NHSE.</w:t>
            </w:r>
          </w:p>
          <w:p w14:paraId="12072F67" w14:textId="77777777" w:rsidR="006F167D" w:rsidRDefault="006F167D" w:rsidP="006F167D">
            <w:pPr>
              <w:widowControl w:val="0"/>
              <w:autoSpaceDE w:val="0"/>
              <w:autoSpaceDN w:val="0"/>
              <w:spacing w:after="0" w:line="240" w:lineRule="auto"/>
              <w:rPr>
                <w:sz w:val="22"/>
              </w:rPr>
            </w:pPr>
          </w:p>
          <w:p w14:paraId="69BC5CF0" w14:textId="7FC9C5D5" w:rsidR="00846321" w:rsidRPr="00C15048" w:rsidRDefault="00846321" w:rsidP="006F167D">
            <w:pPr>
              <w:widowControl w:val="0"/>
              <w:autoSpaceDE w:val="0"/>
              <w:autoSpaceDN w:val="0"/>
              <w:spacing w:after="0" w:line="240" w:lineRule="auto"/>
              <w:rPr>
                <w:sz w:val="22"/>
              </w:rPr>
            </w:pPr>
            <w:r w:rsidRPr="006F167D">
              <w:rPr>
                <w:sz w:val="22"/>
              </w:rPr>
              <w:t>As shown in Annex A, the total capital programme for 2024/25 is £21</w:t>
            </w:r>
            <w:r w:rsidR="00C15048">
              <w:rPr>
                <w:sz w:val="22"/>
              </w:rPr>
              <w:t>4m</w:t>
            </w:r>
            <w:r w:rsidRPr="006F167D">
              <w:rPr>
                <w:sz w:val="22"/>
              </w:rPr>
              <w:t xml:space="preserve">.  Excluding the impact of </w:t>
            </w:r>
            <w:r w:rsidRPr="00C15048">
              <w:rPr>
                <w:sz w:val="22"/>
              </w:rPr>
              <w:t xml:space="preserve">IFRS 16 </w:t>
            </w:r>
            <w:r w:rsidR="009156BC" w:rsidRPr="00C15048">
              <w:rPr>
                <w:sz w:val="22"/>
              </w:rPr>
              <w:t xml:space="preserve">of £61m, </w:t>
            </w:r>
            <w:r w:rsidRPr="00C15048">
              <w:rPr>
                <w:sz w:val="22"/>
              </w:rPr>
              <w:t>the plan is £15</w:t>
            </w:r>
            <w:r w:rsidR="00C15048" w:rsidRPr="00C15048">
              <w:rPr>
                <w:sz w:val="22"/>
              </w:rPr>
              <w:t>3.1</w:t>
            </w:r>
            <w:r w:rsidRPr="00C15048">
              <w:rPr>
                <w:sz w:val="22"/>
              </w:rPr>
              <w:t>m with the funding for this being as follows:</w:t>
            </w:r>
          </w:p>
          <w:p w14:paraId="429B6FAC" w14:textId="1C1F4FCD" w:rsidR="00790557" w:rsidRPr="00C15048" w:rsidRDefault="00790557" w:rsidP="007D6C00">
            <w:pPr>
              <w:pStyle w:val="TableParagraph"/>
              <w:numPr>
                <w:ilvl w:val="0"/>
                <w:numId w:val="8"/>
              </w:numPr>
              <w:spacing w:before="106"/>
              <w:rPr>
                <w:spacing w:val="-2"/>
              </w:rPr>
            </w:pPr>
            <w:r w:rsidRPr="00C15048">
              <w:rPr>
                <w:spacing w:val="-2"/>
              </w:rPr>
              <w:t>Operational capital £95.</w:t>
            </w:r>
            <w:r w:rsidR="00530BB1" w:rsidRPr="00C15048">
              <w:rPr>
                <w:spacing w:val="-2"/>
              </w:rPr>
              <w:t>9</w:t>
            </w:r>
            <w:r w:rsidRPr="00C15048">
              <w:rPr>
                <w:spacing w:val="-2"/>
              </w:rPr>
              <w:t>m</w:t>
            </w:r>
          </w:p>
          <w:p w14:paraId="76380956" w14:textId="60DE0F3C" w:rsidR="00846321" w:rsidRPr="00C15048" w:rsidRDefault="009156BC" w:rsidP="007D6C00">
            <w:pPr>
              <w:pStyle w:val="TableParagraph"/>
              <w:numPr>
                <w:ilvl w:val="0"/>
                <w:numId w:val="8"/>
              </w:numPr>
              <w:spacing w:before="106"/>
              <w:ind w:firstLine="436"/>
              <w:rPr>
                <w:spacing w:val="-2"/>
              </w:rPr>
            </w:pPr>
            <w:r w:rsidRPr="00C15048">
              <w:rPr>
                <w:spacing w:val="-2"/>
              </w:rPr>
              <w:t>Provider operational capital (</w:t>
            </w:r>
            <w:r w:rsidR="00846321" w:rsidRPr="00C15048">
              <w:rPr>
                <w:spacing w:val="-2"/>
              </w:rPr>
              <w:t>net of capital loan repayments) £</w:t>
            </w:r>
            <w:r w:rsidRPr="00C15048">
              <w:rPr>
                <w:spacing w:val="-2"/>
              </w:rPr>
              <w:t>85.7</w:t>
            </w:r>
            <w:r w:rsidR="00846321" w:rsidRPr="00C15048">
              <w:rPr>
                <w:spacing w:val="-2"/>
              </w:rPr>
              <w:t>m</w:t>
            </w:r>
          </w:p>
          <w:p w14:paraId="5ECB2F30" w14:textId="41FB6DB4" w:rsidR="00846321" w:rsidRPr="00C15048" w:rsidRDefault="009156BC" w:rsidP="007D6C00">
            <w:pPr>
              <w:pStyle w:val="TableParagraph"/>
              <w:numPr>
                <w:ilvl w:val="0"/>
                <w:numId w:val="8"/>
              </w:numPr>
              <w:spacing w:before="106"/>
              <w:ind w:firstLine="436"/>
              <w:rPr>
                <w:spacing w:val="-2"/>
              </w:rPr>
            </w:pPr>
            <w:r w:rsidRPr="00C15048">
              <w:rPr>
                <w:spacing w:val="-2"/>
              </w:rPr>
              <w:t>ICB operational capital (including £6.9m strategic capital reserve (SCR)) £</w:t>
            </w:r>
            <w:proofErr w:type="gramStart"/>
            <w:r w:rsidRPr="00C15048">
              <w:rPr>
                <w:spacing w:val="-2"/>
              </w:rPr>
              <w:t>10m</w:t>
            </w:r>
            <w:proofErr w:type="gramEnd"/>
          </w:p>
          <w:p w14:paraId="4AEC09B7" w14:textId="7FB8F51C" w:rsidR="00530BB1" w:rsidRPr="00C15048" w:rsidRDefault="00530BB1" w:rsidP="007D6C00">
            <w:pPr>
              <w:pStyle w:val="TableParagraph"/>
              <w:numPr>
                <w:ilvl w:val="0"/>
                <w:numId w:val="8"/>
              </w:numPr>
              <w:spacing w:before="106"/>
              <w:ind w:firstLine="436"/>
              <w:rPr>
                <w:spacing w:val="-2"/>
              </w:rPr>
            </w:pPr>
            <w:r w:rsidRPr="00C15048">
              <w:rPr>
                <w:spacing w:val="-2"/>
              </w:rPr>
              <w:t>Unallocated capital £0.2m (to be added to the SCR)</w:t>
            </w:r>
          </w:p>
          <w:p w14:paraId="33DE2386" w14:textId="0887F641" w:rsidR="00846321" w:rsidRPr="00C15048" w:rsidRDefault="00846321" w:rsidP="007D6C00">
            <w:pPr>
              <w:pStyle w:val="TableParagraph"/>
              <w:numPr>
                <w:ilvl w:val="0"/>
                <w:numId w:val="8"/>
              </w:numPr>
              <w:spacing w:before="106"/>
              <w:rPr>
                <w:spacing w:val="-2"/>
              </w:rPr>
            </w:pPr>
            <w:r w:rsidRPr="00C15048">
              <w:rPr>
                <w:spacing w:val="-2"/>
              </w:rPr>
              <w:t>PDC / other technical £57.2m</w:t>
            </w:r>
          </w:p>
          <w:p w14:paraId="34232F7B" w14:textId="77777777" w:rsidR="006F167D" w:rsidRDefault="006F167D" w:rsidP="006F167D">
            <w:pPr>
              <w:widowControl w:val="0"/>
              <w:autoSpaceDE w:val="0"/>
              <w:autoSpaceDN w:val="0"/>
              <w:spacing w:after="0" w:line="240" w:lineRule="auto"/>
              <w:rPr>
                <w:sz w:val="22"/>
              </w:rPr>
            </w:pPr>
          </w:p>
          <w:p w14:paraId="2CCEB1F8" w14:textId="267A1277" w:rsidR="00846321" w:rsidRPr="006F167D" w:rsidRDefault="00846321" w:rsidP="006F167D">
            <w:pPr>
              <w:widowControl w:val="0"/>
              <w:autoSpaceDE w:val="0"/>
              <w:autoSpaceDN w:val="0"/>
              <w:spacing w:after="0" w:line="240" w:lineRule="auto"/>
              <w:rPr>
                <w:sz w:val="22"/>
              </w:rPr>
            </w:pPr>
            <w:r w:rsidRPr="006F167D">
              <w:rPr>
                <w:sz w:val="22"/>
              </w:rPr>
              <w:t>The plans are, therefore, within the allocations set by NHSE.</w:t>
            </w:r>
          </w:p>
          <w:p w14:paraId="4D88F409" w14:textId="77777777" w:rsidR="006F167D" w:rsidRDefault="006F167D" w:rsidP="006F167D">
            <w:pPr>
              <w:widowControl w:val="0"/>
              <w:autoSpaceDE w:val="0"/>
              <w:autoSpaceDN w:val="0"/>
              <w:spacing w:after="0" w:line="240" w:lineRule="auto"/>
              <w:rPr>
                <w:sz w:val="22"/>
              </w:rPr>
            </w:pPr>
          </w:p>
          <w:p w14:paraId="3B375B5D" w14:textId="68BBC8C1" w:rsidR="00846321" w:rsidRPr="006F167D" w:rsidRDefault="00846321" w:rsidP="006F167D">
            <w:pPr>
              <w:widowControl w:val="0"/>
              <w:autoSpaceDE w:val="0"/>
              <w:autoSpaceDN w:val="0"/>
              <w:spacing w:after="0" w:line="240" w:lineRule="auto"/>
              <w:rPr>
                <w:sz w:val="22"/>
              </w:rPr>
            </w:pPr>
            <w:r w:rsidRPr="006F167D">
              <w:rPr>
                <w:sz w:val="22"/>
              </w:rPr>
              <w:t>Within the £92.</w:t>
            </w:r>
            <w:r w:rsidR="00530BB1">
              <w:rPr>
                <w:sz w:val="22"/>
              </w:rPr>
              <w:t>9</w:t>
            </w:r>
            <w:r w:rsidRPr="006F167D">
              <w:rPr>
                <w:sz w:val="22"/>
              </w:rPr>
              <w:t>m of operational capital, £</w:t>
            </w:r>
            <w:r w:rsidR="00530BB1">
              <w:rPr>
                <w:sz w:val="22"/>
              </w:rPr>
              <w:t>7.1</w:t>
            </w:r>
            <w:r w:rsidRPr="006F167D">
              <w:rPr>
                <w:sz w:val="22"/>
              </w:rPr>
              <w:t xml:space="preserve">m </w:t>
            </w:r>
            <w:r w:rsidR="00530BB1">
              <w:rPr>
                <w:sz w:val="22"/>
              </w:rPr>
              <w:t xml:space="preserve">has been set aside </w:t>
            </w:r>
            <w:r w:rsidRPr="006F167D">
              <w:rPr>
                <w:sz w:val="22"/>
              </w:rPr>
              <w:t>to create a strategic capital reserve (SCR).  The ICB and Provider Collaborative Board (PCB) will jointly decide how this funding is directed in year.</w:t>
            </w:r>
            <w:r w:rsidR="006F167D">
              <w:rPr>
                <w:sz w:val="22"/>
              </w:rPr>
              <w:t xml:space="preserve"> For planning purposes, the £</w:t>
            </w:r>
            <w:r w:rsidR="00530BB1">
              <w:rPr>
                <w:sz w:val="22"/>
              </w:rPr>
              <w:t>7.1</w:t>
            </w:r>
            <w:r w:rsidR="006F167D">
              <w:rPr>
                <w:sz w:val="22"/>
              </w:rPr>
              <w:t>m SCR is being held by the ICB.</w:t>
            </w:r>
          </w:p>
          <w:p w14:paraId="35EAB238" w14:textId="77777777" w:rsidR="00846321" w:rsidRPr="006F167D" w:rsidRDefault="00846321" w:rsidP="007A3339">
            <w:pPr>
              <w:rPr>
                <w:sz w:val="22"/>
              </w:rPr>
            </w:pPr>
          </w:p>
        </w:tc>
      </w:tr>
      <w:tr w:rsidR="00790557" w:rsidRPr="006F167D" w14:paraId="0D360E8D" w14:textId="77777777" w:rsidTr="00CF45B2">
        <w:trPr>
          <w:trHeight w:val="1402"/>
        </w:trPr>
        <w:tc>
          <w:tcPr>
            <w:tcW w:w="9807" w:type="dxa"/>
          </w:tcPr>
          <w:p w14:paraId="13AA7423" w14:textId="77777777" w:rsidR="00790557" w:rsidRPr="006F167D" w:rsidRDefault="00790557" w:rsidP="006F167D">
            <w:pPr>
              <w:widowControl w:val="0"/>
              <w:autoSpaceDE w:val="0"/>
              <w:autoSpaceDN w:val="0"/>
              <w:spacing w:after="0" w:line="240" w:lineRule="auto"/>
              <w:rPr>
                <w:sz w:val="22"/>
              </w:rPr>
            </w:pPr>
          </w:p>
        </w:tc>
      </w:tr>
    </w:tbl>
    <w:p w14:paraId="7E08EEC6" w14:textId="77777777" w:rsidR="00846321" w:rsidRDefault="00846321" w:rsidP="00846321">
      <w:pPr>
        <w:spacing w:line="254" w:lineRule="exact"/>
        <w:sectPr w:rsidR="00846321" w:rsidSect="00175EF9">
          <w:headerReference w:type="default" r:id="rId12"/>
          <w:footerReference w:type="default" r:id="rId13"/>
          <w:pgSz w:w="11910" w:h="16840"/>
          <w:pgMar w:top="1600" w:right="1100" w:bottom="1140" w:left="920" w:header="567" w:footer="952" w:gutter="0"/>
          <w:cols w:space="720"/>
          <w:docGrid w:linePitch="299"/>
        </w:sectPr>
      </w:pPr>
    </w:p>
    <w:tbl>
      <w:tblPr>
        <w:tblW w:w="0" w:type="auto"/>
        <w:tblInd w:w="1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356"/>
      </w:tblGrid>
      <w:tr w:rsidR="00846321" w14:paraId="6DB3B260" w14:textId="77777777" w:rsidTr="007A3339">
        <w:trPr>
          <w:trHeight w:val="640"/>
        </w:trPr>
        <w:tc>
          <w:tcPr>
            <w:tcW w:w="9356" w:type="dxa"/>
            <w:shd w:val="clear" w:color="auto" w:fill="006FC0"/>
          </w:tcPr>
          <w:p w14:paraId="415B7C13" w14:textId="77777777" w:rsidR="00846321" w:rsidRDefault="00846321" w:rsidP="007A3339">
            <w:pPr>
              <w:pStyle w:val="TableParagraph"/>
              <w:spacing w:before="84"/>
              <w:rPr>
                <w:b/>
                <w:sz w:val="24"/>
              </w:rPr>
            </w:pPr>
            <w:r>
              <w:rPr>
                <w:b/>
                <w:color w:val="FFFFFF"/>
                <w:sz w:val="24"/>
              </w:rPr>
              <w:t>Capital</w:t>
            </w:r>
            <w:r>
              <w:rPr>
                <w:b/>
                <w:color w:val="FFFFFF"/>
                <w:spacing w:val="-5"/>
                <w:sz w:val="24"/>
              </w:rPr>
              <w:t xml:space="preserve"> </w:t>
            </w:r>
            <w:proofErr w:type="spellStart"/>
            <w:r>
              <w:rPr>
                <w:b/>
                <w:color w:val="FFFFFF"/>
                <w:spacing w:val="-2"/>
                <w:sz w:val="24"/>
              </w:rPr>
              <w:t>prioritisation</w:t>
            </w:r>
            <w:proofErr w:type="spellEnd"/>
          </w:p>
        </w:tc>
      </w:tr>
      <w:tr w:rsidR="00846321" w14:paraId="353229EE" w14:textId="77777777" w:rsidTr="007A3339">
        <w:trPr>
          <w:trHeight w:val="4270"/>
        </w:trPr>
        <w:tc>
          <w:tcPr>
            <w:tcW w:w="9356" w:type="dxa"/>
          </w:tcPr>
          <w:p w14:paraId="1A240A77" w14:textId="3B4F6757" w:rsidR="000229A7" w:rsidRPr="00C15048" w:rsidRDefault="000229A7" w:rsidP="006F167D">
            <w:pPr>
              <w:pStyle w:val="TableParagraph"/>
              <w:tabs>
                <w:tab w:val="left" w:pos="828"/>
              </w:tabs>
              <w:spacing w:line="267" w:lineRule="exact"/>
            </w:pPr>
            <w:r w:rsidRPr="00C15048">
              <w:t xml:space="preserve">The system operational capital budget is allocated to each provider using the methodology set by NHS England. Each provider then determines how it deploys the capital available based on local priorities, such as equipment replacement </w:t>
            </w:r>
            <w:proofErr w:type="spellStart"/>
            <w:r w:rsidRPr="00C15048">
              <w:t>programmes</w:t>
            </w:r>
            <w:proofErr w:type="spellEnd"/>
            <w:r w:rsidRPr="00C15048">
              <w:t xml:space="preserve"> and backlog maintenance. </w:t>
            </w:r>
          </w:p>
          <w:p w14:paraId="199035E8" w14:textId="77777777" w:rsidR="006F167D" w:rsidRPr="000229A7" w:rsidRDefault="006F167D" w:rsidP="006F167D">
            <w:pPr>
              <w:pStyle w:val="TableParagraph"/>
              <w:tabs>
                <w:tab w:val="left" w:pos="828"/>
              </w:tabs>
              <w:spacing w:line="267" w:lineRule="exact"/>
              <w:rPr>
                <w:color w:val="FF0000"/>
              </w:rPr>
            </w:pPr>
          </w:p>
          <w:p w14:paraId="662193B9" w14:textId="0EE8F5A2" w:rsidR="00846321" w:rsidRDefault="00846321" w:rsidP="006F167D">
            <w:pPr>
              <w:pStyle w:val="TableParagraph"/>
              <w:tabs>
                <w:tab w:val="left" w:pos="828"/>
              </w:tabs>
              <w:spacing w:line="267" w:lineRule="exact"/>
            </w:pPr>
            <w:r w:rsidRPr="009E47A9">
              <w:t>Access to the strategic capital reserve will be via a bidding process in year.  The details and criteria for this are being worked up.</w:t>
            </w:r>
          </w:p>
          <w:p w14:paraId="1B0B008C" w14:textId="77777777" w:rsidR="006F167D" w:rsidRPr="009E47A9" w:rsidRDefault="006F167D" w:rsidP="006F167D">
            <w:pPr>
              <w:pStyle w:val="TableParagraph"/>
              <w:tabs>
                <w:tab w:val="left" w:pos="828"/>
              </w:tabs>
              <w:spacing w:line="267" w:lineRule="exact"/>
            </w:pPr>
          </w:p>
          <w:p w14:paraId="312D13D3" w14:textId="37F8A0A2" w:rsidR="00846321" w:rsidRPr="009E47A9" w:rsidRDefault="006F167D" w:rsidP="006F167D">
            <w:pPr>
              <w:pStyle w:val="TableParagraph"/>
              <w:tabs>
                <w:tab w:val="left" w:pos="828"/>
              </w:tabs>
              <w:ind w:right="263"/>
            </w:pPr>
            <w:r>
              <w:t>T</w:t>
            </w:r>
            <w:r w:rsidR="00846321" w:rsidRPr="009E47A9">
              <w:t xml:space="preserve">he principles for identification of and disposal of surplus assets </w:t>
            </w:r>
            <w:r w:rsidR="0050054B">
              <w:t xml:space="preserve">follow “Estates Code” HBN 00-08 </w:t>
            </w:r>
            <w:hyperlink r:id="rId14" w:history="1">
              <w:r w:rsidR="00A65B0A" w:rsidRPr="0050054B">
                <w:rPr>
                  <w:rFonts w:eastAsiaTheme="minorHAnsi"/>
                  <w:color w:val="0000FF"/>
                  <w:sz w:val="24"/>
                  <w:u w:val="single"/>
                  <w:lang w:val="en-GB"/>
                </w:rPr>
                <w:t>NHS England » Health Building Note 00-08: Strategic framework for the efficient management of healthcare estates and facilities</w:t>
              </w:r>
            </w:hyperlink>
            <w:r w:rsidR="00A65B0A">
              <w:rPr>
                <w:rFonts w:eastAsiaTheme="minorHAnsi"/>
                <w:sz w:val="24"/>
                <w:lang w:val="en-GB"/>
              </w:rPr>
              <w:t xml:space="preserve"> </w:t>
            </w:r>
            <w:r w:rsidR="0050054B">
              <w:t xml:space="preserve">and </w:t>
            </w:r>
            <w:r w:rsidR="00846321" w:rsidRPr="009E47A9">
              <w:t xml:space="preserve">are established in the Infrastructure Strategy. A </w:t>
            </w:r>
            <w:proofErr w:type="spellStart"/>
            <w:r w:rsidR="00846321" w:rsidRPr="009E47A9">
              <w:t>programme</w:t>
            </w:r>
            <w:proofErr w:type="spellEnd"/>
            <w:r w:rsidR="00846321" w:rsidRPr="009E47A9">
              <w:t xml:space="preserve"> of Space </w:t>
            </w:r>
            <w:proofErr w:type="spellStart"/>
            <w:r w:rsidR="00846321" w:rsidRPr="009E47A9">
              <w:t>Utilisation</w:t>
            </w:r>
            <w:proofErr w:type="spellEnd"/>
            <w:r w:rsidR="00846321" w:rsidRPr="009E47A9">
              <w:t xml:space="preserve"> across Lancashire and South Cumbria is being established during 24/25. This </w:t>
            </w:r>
            <w:proofErr w:type="spellStart"/>
            <w:r w:rsidR="00846321" w:rsidRPr="009E47A9">
              <w:t>programme</w:t>
            </w:r>
            <w:proofErr w:type="spellEnd"/>
            <w:r w:rsidR="00846321" w:rsidRPr="009E47A9">
              <w:t xml:space="preserve"> will determine efficiencies and occupation of existing estate and will be supported by the reviews about which estate is Core, Flex, and Tail. A process to confirm the Tail estate and reduce this will be agreed.  </w:t>
            </w:r>
          </w:p>
          <w:p w14:paraId="21AC95CA" w14:textId="77777777" w:rsidR="006F167D" w:rsidRDefault="006F167D" w:rsidP="006F167D">
            <w:pPr>
              <w:pStyle w:val="TableParagraph"/>
              <w:tabs>
                <w:tab w:val="left" w:pos="828"/>
              </w:tabs>
              <w:ind w:right="536"/>
            </w:pPr>
          </w:p>
          <w:p w14:paraId="19EE2175" w14:textId="0C59C464" w:rsidR="006F167D" w:rsidRDefault="00846321" w:rsidP="006F167D">
            <w:pPr>
              <w:pStyle w:val="TableParagraph"/>
              <w:tabs>
                <w:tab w:val="left" w:pos="828"/>
              </w:tabs>
              <w:ind w:right="536"/>
            </w:pPr>
            <w:r w:rsidRPr="009E47A9">
              <w:t xml:space="preserve">A space </w:t>
            </w:r>
            <w:proofErr w:type="spellStart"/>
            <w:r w:rsidRPr="009E47A9">
              <w:t>utilisation</w:t>
            </w:r>
            <w:proofErr w:type="spellEnd"/>
            <w:r w:rsidRPr="009E47A9">
              <w:t xml:space="preserve"> plan was developed for one of the </w:t>
            </w:r>
            <w:r w:rsidR="00F42109">
              <w:t>Local Improvement Finance Trust (</w:t>
            </w:r>
            <w:r w:rsidRPr="009E47A9">
              <w:t>LIFT</w:t>
            </w:r>
            <w:r w:rsidR="00F42109">
              <w:t>)</w:t>
            </w:r>
            <w:r w:rsidRPr="009E47A9">
              <w:t xml:space="preserve"> buildings (Alfred Barrow in Barrow in Furness) but not progressed due to a lack of availability of capital between DH and CHP. The ICB do not have any financial interest in the LIFT estate and currently have no mechanism to introduce ICB capital into the estate owned by C</w:t>
            </w:r>
            <w:r w:rsidR="00F42109">
              <w:t xml:space="preserve">ommunity </w:t>
            </w:r>
            <w:r w:rsidRPr="009E47A9">
              <w:t>H</w:t>
            </w:r>
            <w:r w:rsidR="00F42109">
              <w:t xml:space="preserve">ealth </w:t>
            </w:r>
            <w:r w:rsidRPr="009E47A9">
              <w:t>P</w:t>
            </w:r>
            <w:r w:rsidR="00F42109">
              <w:t>artnerships (CHP)</w:t>
            </w:r>
            <w:r w:rsidRPr="009E47A9">
              <w:t xml:space="preserve">. There are </w:t>
            </w:r>
            <w:proofErr w:type="gramStart"/>
            <w:r w:rsidRPr="009E47A9">
              <w:t>a number of</w:t>
            </w:r>
            <w:proofErr w:type="gramEnd"/>
            <w:r w:rsidRPr="009E47A9">
              <w:t xml:space="preserve"> primary care service development and efficiency developments which are currently paused on grounds of affordability (the difference between the rent the building owners would seek for a development vs. the comparable costs that the District Valuer is prepared to endorse. This is a national issue that has been reported in the press – </w:t>
            </w:r>
            <w:proofErr w:type="spellStart"/>
            <w:r w:rsidR="00F42109">
              <w:t>i.e</w:t>
            </w:r>
            <w:proofErr w:type="spellEnd"/>
            <w:r w:rsidRPr="009E47A9">
              <w:t xml:space="preserve"> is not L&amp;SC specific. There is a long-term and general shortage of investment into the Primary Care estate.</w:t>
            </w:r>
          </w:p>
          <w:p w14:paraId="3F2A39FB" w14:textId="77777777" w:rsidR="006F167D" w:rsidRDefault="006F167D" w:rsidP="006F167D">
            <w:pPr>
              <w:pStyle w:val="TableParagraph"/>
              <w:tabs>
                <w:tab w:val="left" w:pos="828"/>
              </w:tabs>
              <w:ind w:right="536"/>
            </w:pPr>
          </w:p>
          <w:p w14:paraId="205206B0" w14:textId="6E799693" w:rsidR="00846321" w:rsidRPr="006D700F" w:rsidRDefault="00846321" w:rsidP="006F167D">
            <w:pPr>
              <w:pStyle w:val="TableParagraph"/>
              <w:tabs>
                <w:tab w:val="left" w:pos="828"/>
              </w:tabs>
              <w:ind w:right="536"/>
            </w:pPr>
            <w:r w:rsidRPr="009E47A9">
              <w:t>All future investments into</w:t>
            </w:r>
            <w:r>
              <w:t xml:space="preserve"> the ICB infrastructure need to be considered against the context set out in the Infrastructure Strategy, which in turn supports future service strategy and planning. </w:t>
            </w:r>
            <w:r>
              <w:rPr>
                <w:spacing w:val="-7"/>
              </w:rPr>
              <w:t xml:space="preserve"> </w:t>
            </w:r>
            <w:r>
              <w:t>outline</w:t>
            </w:r>
            <w:r>
              <w:rPr>
                <w:spacing w:val="-6"/>
              </w:rPr>
              <w:t xml:space="preserve"> </w:t>
            </w:r>
            <w:r>
              <w:t>of</w:t>
            </w:r>
            <w:r>
              <w:rPr>
                <w:spacing w:val="-7"/>
              </w:rPr>
              <w:t xml:space="preserve"> </w:t>
            </w:r>
            <w:r>
              <w:t>how</w:t>
            </w:r>
            <w:r>
              <w:rPr>
                <w:spacing w:val="-6"/>
              </w:rPr>
              <w:t xml:space="preserve"> </w:t>
            </w:r>
            <w:r>
              <w:t>schemes</w:t>
            </w:r>
            <w:r>
              <w:rPr>
                <w:spacing w:val="-6"/>
              </w:rPr>
              <w:t xml:space="preserve"> </w:t>
            </w:r>
            <w:r>
              <w:t>contribute</w:t>
            </w:r>
            <w:r>
              <w:rPr>
                <w:spacing w:val="-7"/>
              </w:rPr>
              <w:t xml:space="preserve"> </w:t>
            </w:r>
            <w:r>
              <w:t>to</w:t>
            </w:r>
            <w:r>
              <w:rPr>
                <w:spacing w:val="-6"/>
              </w:rPr>
              <w:t xml:space="preserve"> </w:t>
            </w:r>
            <w:r>
              <w:t>the</w:t>
            </w:r>
            <w:r>
              <w:rPr>
                <w:spacing w:val="-6"/>
              </w:rPr>
              <w:t xml:space="preserve"> </w:t>
            </w:r>
            <w:r>
              <w:t>ICB’s</w:t>
            </w:r>
            <w:r>
              <w:rPr>
                <w:spacing w:val="-6"/>
              </w:rPr>
              <w:t xml:space="preserve"> </w:t>
            </w:r>
            <w:r>
              <w:t>vision,</w:t>
            </w:r>
            <w:r>
              <w:rPr>
                <w:spacing w:val="-7"/>
              </w:rPr>
              <w:t xml:space="preserve"> </w:t>
            </w:r>
            <w:r>
              <w:t>aims</w:t>
            </w:r>
            <w:r>
              <w:rPr>
                <w:spacing w:val="-7"/>
              </w:rPr>
              <w:t xml:space="preserve"> </w:t>
            </w:r>
            <w:r>
              <w:t>and</w:t>
            </w:r>
            <w:r>
              <w:rPr>
                <w:spacing w:val="-6"/>
              </w:rPr>
              <w:t xml:space="preserve"> </w:t>
            </w:r>
            <w:r>
              <w:rPr>
                <w:spacing w:val="-2"/>
              </w:rPr>
              <w:t xml:space="preserve">objectives, The recently completed </w:t>
            </w:r>
            <w:r w:rsidR="00F42109">
              <w:rPr>
                <w:spacing w:val="-2"/>
              </w:rPr>
              <w:t>Primary Care Network (</w:t>
            </w:r>
            <w:r>
              <w:rPr>
                <w:spacing w:val="-2"/>
              </w:rPr>
              <w:t>PCN</w:t>
            </w:r>
            <w:r w:rsidR="00F42109">
              <w:rPr>
                <w:spacing w:val="-2"/>
              </w:rPr>
              <w:t>)</w:t>
            </w:r>
            <w:r>
              <w:rPr>
                <w:spacing w:val="-2"/>
              </w:rPr>
              <w:t xml:space="preserve"> Toolkit also is consistent with the ICB Infrastructure Strategy and the specific PCN Estates Plans are currently being reviewed for fit and prioritization. PCNs have recently submitted some of their aspirations for future investment and these are being evaluated by the Primary Care team.</w:t>
            </w:r>
          </w:p>
          <w:p w14:paraId="2E48AD6E" w14:textId="77777777" w:rsidR="00846321" w:rsidRDefault="00846321" w:rsidP="007A3339">
            <w:pPr>
              <w:pStyle w:val="TableParagraph"/>
              <w:tabs>
                <w:tab w:val="left" w:pos="828"/>
              </w:tabs>
              <w:ind w:left="828" w:right="332"/>
            </w:pPr>
          </w:p>
        </w:tc>
      </w:tr>
    </w:tbl>
    <w:p w14:paraId="607F688D" w14:textId="77777777" w:rsidR="00846321" w:rsidRDefault="00846321" w:rsidP="00846321">
      <w:pPr>
        <w:pStyle w:val="BodyText"/>
        <w:rPr>
          <w:sz w:val="20"/>
        </w:rPr>
      </w:pPr>
    </w:p>
    <w:p w14:paraId="6D4EF06C" w14:textId="77777777" w:rsidR="00846321" w:rsidRDefault="00846321" w:rsidP="00846321">
      <w:pPr>
        <w:pStyle w:val="BodyText"/>
        <w:spacing w:before="180"/>
        <w:rPr>
          <w:sz w:val="20"/>
        </w:rPr>
      </w:pPr>
    </w:p>
    <w:p w14:paraId="086A5015" w14:textId="77777777" w:rsidR="00846321" w:rsidRDefault="00846321" w:rsidP="00846321">
      <w:pPr>
        <w:pStyle w:val="BodyText"/>
        <w:spacing w:before="180"/>
        <w:rPr>
          <w:sz w:val="20"/>
        </w:rPr>
      </w:pPr>
    </w:p>
    <w:p w14:paraId="718ED805" w14:textId="77777777" w:rsidR="00846321" w:rsidRDefault="00846321" w:rsidP="00846321">
      <w:pPr>
        <w:pStyle w:val="BodyText"/>
        <w:spacing w:before="180"/>
        <w:rPr>
          <w:sz w:val="20"/>
        </w:rPr>
      </w:pPr>
    </w:p>
    <w:p w14:paraId="10021FF8" w14:textId="77777777" w:rsidR="00846321" w:rsidRDefault="00846321" w:rsidP="00846321">
      <w:pPr>
        <w:pStyle w:val="BodyText"/>
        <w:spacing w:before="180"/>
        <w:rPr>
          <w:sz w:val="20"/>
        </w:rPr>
      </w:pPr>
    </w:p>
    <w:p w14:paraId="3C913327" w14:textId="74AE2C2C" w:rsidR="00846321" w:rsidRDefault="00846321" w:rsidP="00846321">
      <w:pPr>
        <w:pStyle w:val="BodyText"/>
        <w:spacing w:before="180"/>
        <w:rPr>
          <w:sz w:val="20"/>
        </w:rPr>
      </w:pPr>
    </w:p>
    <w:p w14:paraId="5E52A5F6" w14:textId="77777777" w:rsidR="00C15048" w:rsidRDefault="00C15048" w:rsidP="00846321">
      <w:pPr>
        <w:pStyle w:val="BodyText"/>
        <w:spacing w:before="180"/>
        <w:rPr>
          <w:sz w:val="20"/>
        </w:rPr>
      </w:pPr>
    </w:p>
    <w:p w14:paraId="0F3E7A2C" w14:textId="77777777" w:rsidR="00C15048" w:rsidRDefault="00C15048" w:rsidP="00846321">
      <w:pPr>
        <w:pStyle w:val="BodyText"/>
        <w:spacing w:before="180"/>
        <w:rPr>
          <w:sz w:val="20"/>
        </w:rPr>
      </w:pPr>
    </w:p>
    <w:p w14:paraId="296432A4" w14:textId="77777777" w:rsidR="00846321" w:rsidRDefault="00846321" w:rsidP="00846321">
      <w:pPr>
        <w:pStyle w:val="BodyText"/>
        <w:spacing w:before="180"/>
        <w:rPr>
          <w:sz w:val="20"/>
        </w:rPr>
      </w:pPr>
    </w:p>
    <w:p w14:paraId="03F77E65" w14:textId="77777777" w:rsidR="00846321" w:rsidRDefault="00846321" w:rsidP="00846321">
      <w:pPr>
        <w:pStyle w:val="BodyText"/>
        <w:spacing w:before="180"/>
        <w:rPr>
          <w:sz w:val="20"/>
        </w:rPr>
      </w:pPr>
    </w:p>
    <w:tbl>
      <w:tblPr>
        <w:tblW w:w="0" w:type="auto"/>
        <w:tblInd w:w="1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356"/>
      </w:tblGrid>
      <w:tr w:rsidR="00846321" w14:paraId="6DFB4767" w14:textId="77777777" w:rsidTr="007A3339">
        <w:trPr>
          <w:trHeight w:val="640"/>
        </w:trPr>
        <w:tc>
          <w:tcPr>
            <w:tcW w:w="9356" w:type="dxa"/>
            <w:shd w:val="clear" w:color="auto" w:fill="006FC0"/>
          </w:tcPr>
          <w:p w14:paraId="48B8A0BD" w14:textId="77777777" w:rsidR="00846321" w:rsidRDefault="00846321" w:rsidP="007A3339">
            <w:pPr>
              <w:pStyle w:val="TableParagraph"/>
              <w:spacing w:before="85"/>
              <w:rPr>
                <w:b/>
                <w:sz w:val="24"/>
              </w:rPr>
            </w:pPr>
            <w:r>
              <w:rPr>
                <w:b/>
                <w:color w:val="FFFFFF"/>
                <w:sz w:val="24"/>
              </w:rPr>
              <w:t>Capital</w:t>
            </w:r>
            <w:r>
              <w:rPr>
                <w:b/>
                <w:color w:val="FFFFFF"/>
                <w:spacing w:val="-5"/>
                <w:sz w:val="24"/>
              </w:rPr>
              <w:t xml:space="preserve"> </w:t>
            </w:r>
            <w:r>
              <w:rPr>
                <w:b/>
                <w:color w:val="FFFFFF"/>
                <w:spacing w:val="-2"/>
                <w:sz w:val="24"/>
              </w:rPr>
              <w:t>planning</w:t>
            </w:r>
          </w:p>
        </w:tc>
      </w:tr>
      <w:tr w:rsidR="00846321" w14:paraId="436B7EF3" w14:textId="77777777" w:rsidTr="006F167D">
        <w:trPr>
          <w:trHeight w:val="4019"/>
        </w:trPr>
        <w:tc>
          <w:tcPr>
            <w:tcW w:w="9356" w:type="dxa"/>
          </w:tcPr>
          <w:p w14:paraId="5BEF24F7" w14:textId="77777777" w:rsidR="00846321" w:rsidRDefault="00846321" w:rsidP="007A3339">
            <w:pPr>
              <w:pStyle w:val="TableParagraph"/>
              <w:spacing w:before="28"/>
              <w:ind w:left="0"/>
            </w:pPr>
          </w:p>
          <w:p w14:paraId="0069FCF6" w14:textId="77777777" w:rsidR="00846321" w:rsidRPr="00E15427" w:rsidRDefault="00846321" w:rsidP="006F167D">
            <w:pPr>
              <w:pStyle w:val="TableParagraph"/>
              <w:tabs>
                <w:tab w:val="left" w:pos="828"/>
              </w:tabs>
              <w:ind w:right="155"/>
            </w:pPr>
            <w:r w:rsidRPr="00E15427">
              <w:t>The main areas of spend within the plan are as follows:</w:t>
            </w:r>
          </w:p>
          <w:p w14:paraId="7D1A2C0D" w14:textId="77777777" w:rsidR="00846321" w:rsidRPr="00E15427" w:rsidRDefault="00846321" w:rsidP="007A3339">
            <w:pPr>
              <w:pStyle w:val="TableParagraph"/>
              <w:tabs>
                <w:tab w:val="left" w:pos="828"/>
              </w:tabs>
              <w:ind w:left="828" w:right="155"/>
            </w:pPr>
          </w:p>
          <w:p w14:paraId="7018E1E3" w14:textId="77777777" w:rsidR="00846321" w:rsidRPr="006F167D" w:rsidRDefault="00846321" w:rsidP="007D6C00">
            <w:pPr>
              <w:pStyle w:val="TableParagraph"/>
              <w:numPr>
                <w:ilvl w:val="0"/>
                <w:numId w:val="8"/>
              </w:numPr>
              <w:spacing w:before="106"/>
              <w:rPr>
                <w:spacing w:val="-2"/>
              </w:rPr>
            </w:pPr>
            <w:r w:rsidRPr="006F167D">
              <w:rPr>
                <w:spacing w:val="-2"/>
              </w:rPr>
              <w:t>New build £69.3m</w:t>
            </w:r>
          </w:p>
          <w:p w14:paraId="059EB0BD" w14:textId="77777777" w:rsidR="00846321" w:rsidRPr="006F167D" w:rsidRDefault="00846321" w:rsidP="007D6C00">
            <w:pPr>
              <w:pStyle w:val="TableParagraph"/>
              <w:numPr>
                <w:ilvl w:val="0"/>
                <w:numId w:val="8"/>
              </w:numPr>
              <w:spacing w:before="106"/>
              <w:rPr>
                <w:spacing w:val="-2"/>
              </w:rPr>
            </w:pPr>
            <w:r w:rsidRPr="006F167D">
              <w:rPr>
                <w:spacing w:val="-2"/>
              </w:rPr>
              <w:t>Equipment £22.3m</w:t>
            </w:r>
          </w:p>
          <w:p w14:paraId="33EEEC19" w14:textId="77777777" w:rsidR="00846321" w:rsidRPr="006F167D" w:rsidRDefault="00846321" w:rsidP="007D6C00">
            <w:pPr>
              <w:pStyle w:val="TableParagraph"/>
              <w:numPr>
                <w:ilvl w:val="0"/>
                <w:numId w:val="8"/>
              </w:numPr>
              <w:spacing w:before="106"/>
              <w:rPr>
                <w:spacing w:val="-2"/>
              </w:rPr>
            </w:pPr>
            <w:r w:rsidRPr="006F167D">
              <w:rPr>
                <w:spacing w:val="-2"/>
              </w:rPr>
              <w:t>Routine maintenance £23.7m</w:t>
            </w:r>
          </w:p>
          <w:p w14:paraId="6FE43FB7" w14:textId="77777777" w:rsidR="00846321" w:rsidRPr="006F167D" w:rsidRDefault="00846321" w:rsidP="007D6C00">
            <w:pPr>
              <w:pStyle w:val="TableParagraph"/>
              <w:numPr>
                <w:ilvl w:val="0"/>
                <w:numId w:val="8"/>
              </w:numPr>
              <w:spacing w:before="106"/>
              <w:rPr>
                <w:spacing w:val="-2"/>
              </w:rPr>
            </w:pPr>
            <w:r w:rsidRPr="006F167D">
              <w:rPr>
                <w:spacing w:val="-2"/>
              </w:rPr>
              <w:t>IT £23.3m</w:t>
            </w:r>
          </w:p>
          <w:p w14:paraId="226D3802" w14:textId="77777777" w:rsidR="00846321" w:rsidRPr="006F167D" w:rsidRDefault="00846321" w:rsidP="007D6C00">
            <w:pPr>
              <w:pStyle w:val="TableParagraph"/>
              <w:numPr>
                <w:ilvl w:val="0"/>
                <w:numId w:val="8"/>
              </w:numPr>
              <w:spacing w:before="106"/>
              <w:rPr>
                <w:spacing w:val="-2"/>
              </w:rPr>
            </w:pPr>
            <w:r w:rsidRPr="006F167D">
              <w:rPr>
                <w:spacing w:val="-2"/>
              </w:rPr>
              <w:t>Ambulance fleet £6.6m</w:t>
            </w:r>
          </w:p>
          <w:p w14:paraId="530A6730" w14:textId="77777777" w:rsidR="00846321" w:rsidRPr="006F167D" w:rsidRDefault="00846321" w:rsidP="007D6C00">
            <w:pPr>
              <w:pStyle w:val="TableParagraph"/>
              <w:numPr>
                <w:ilvl w:val="0"/>
                <w:numId w:val="8"/>
              </w:numPr>
              <w:spacing w:before="106"/>
              <w:rPr>
                <w:spacing w:val="-2"/>
              </w:rPr>
            </w:pPr>
            <w:r w:rsidRPr="006F167D">
              <w:rPr>
                <w:spacing w:val="-2"/>
              </w:rPr>
              <w:t>Backlog maintenance £5.9m</w:t>
            </w:r>
          </w:p>
          <w:p w14:paraId="51257AB2" w14:textId="77777777" w:rsidR="00846321" w:rsidRPr="00EE59C2" w:rsidRDefault="00846321" w:rsidP="007A3339">
            <w:pPr>
              <w:pStyle w:val="TableParagraph"/>
              <w:tabs>
                <w:tab w:val="left" w:pos="828"/>
              </w:tabs>
              <w:ind w:left="1672" w:right="155"/>
              <w:rPr>
                <w:highlight w:val="yellow"/>
              </w:rPr>
            </w:pPr>
          </w:p>
          <w:p w14:paraId="25E0EBD6" w14:textId="77777777" w:rsidR="00846321" w:rsidRDefault="00846321" w:rsidP="006F167D">
            <w:pPr>
              <w:pStyle w:val="TableParagraph"/>
              <w:tabs>
                <w:tab w:val="left" w:pos="828"/>
              </w:tabs>
              <w:ind w:right="120"/>
            </w:pPr>
            <w:r>
              <w:t>The total capital requirement to remove Backlog and Critical Infrastructure Risk in the Trusts in Lancashire and South Cumbria is £190m (2022/2023 ERIC figures).</w:t>
            </w:r>
          </w:p>
          <w:p w14:paraId="40C43D2B" w14:textId="77777777" w:rsidR="00846321" w:rsidRDefault="00846321" w:rsidP="007A3339">
            <w:pPr>
              <w:pStyle w:val="TableParagraph"/>
              <w:tabs>
                <w:tab w:val="left" w:pos="828"/>
              </w:tabs>
              <w:ind w:left="828" w:right="120"/>
            </w:pPr>
          </w:p>
        </w:tc>
      </w:tr>
    </w:tbl>
    <w:p w14:paraId="0DF21270" w14:textId="77777777" w:rsidR="00846321" w:rsidRDefault="00846321" w:rsidP="00846321">
      <w:pPr>
        <w:sectPr w:rsidR="00846321" w:rsidSect="00175EF9">
          <w:pgSz w:w="11910" w:h="16840"/>
          <w:pgMar w:top="1600" w:right="1100" w:bottom="1731" w:left="920" w:header="567" w:footer="952" w:gutter="0"/>
          <w:cols w:space="720"/>
        </w:sectPr>
      </w:pPr>
    </w:p>
    <w:tbl>
      <w:tblPr>
        <w:tblW w:w="0" w:type="auto"/>
        <w:tblInd w:w="1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356"/>
      </w:tblGrid>
      <w:tr w:rsidR="00846321" w14:paraId="6D408E4A" w14:textId="77777777" w:rsidTr="007A3339">
        <w:trPr>
          <w:trHeight w:val="640"/>
        </w:trPr>
        <w:tc>
          <w:tcPr>
            <w:tcW w:w="9356" w:type="dxa"/>
            <w:shd w:val="clear" w:color="auto" w:fill="006FC0"/>
          </w:tcPr>
          <w:p w14:paraId="1ABA0438" w14:textId="77777777" w:rsidR="00846321" w:rsidRDefault="00846321" w:rsidP="007A3339">
            <w:pPr>
              <w:pStyle w:val="TableParagraph"/>
              <w:spacing w:before="85"/>
              <w:rPr>
                <w:b/>
                <w:sz w:val="24"/>
              </w:rPr>
            </w:pPr>
            <w:r>
              <w:rPr>
                <w:b/>
                <w:color w:val="FFFFFF"/>
                <w:sz w:val="24"/>
              </w:rPr>
              <w:t>Overview</w:t>
            </w:r>
            <w:r>
              <w:rPr>
                <w:b/>
                <w:color w:val="FFFFFF"/>
                <w:spacing w:val="-2"/>
                <w:sz w:val="24"/>
              </w:rPr>
              <w:t xml:space="preserve"> </w:t>
            </w:r>
            <w:r>
              <w:rPr>
                <w:b/>
                <w:color w:val="FFFFFF"/>
                <w:sz w:val="24"/>
              </w:rPr>
              <w:t>of</w:t>
            </w:r>
            <w:r>
              <w:rPr>
                <w:b/>
                <w:color w:val="FFFFFF"/>
                <w:spacing w:val="-1"/>
                <w:sz w:val="24"/>
              </w:rPr>
              <w:t xml:space="preserve"> </w:t>
            </w:r>
            <w:r>
              <w:rPr>
                <w:b/>
                <w:color w:val="FFFFFF"/>
                <w:sz w:val="24"/>
              </w:rPr>
              <w:t>ongoing</w:t>
            </w:r>
            <w:r>
              <w:rPr>
                <w:b/>
                <w:color w:val="FFFFFF"/>
                <w:spacing w:val="-3"/>
                <w:sz w:val="24"/>
              </w:rPr>
              <w:t xml:space="preserve"> </w:t>
            </w:r>
            <w:r>
              <w:rPr>
                <w:b/>
                <w:color w:val="FFFFFF"/>
                <w:sz w:val="24"/>
              </w:rPr>
              <w:t>scheme</w:t>
            </w:r>
            <w:r>
              <w:rPr>
                <w:b/>
                <w:color w:val="FFFFFF"/>
                <w:spacing w:val="-1"/>
                <w:sz w:val="24"/>
              </w:rPr>
              <w:t xml:space="preserve"> </w:t>
            </w:r>
            <w:r>
              <w:rPr>
                <w:b/>
                <w:color w:val="FFFFFF"/>
                <w:spacing w:val="-2"/>
                <w:sz w:val="24"/>
              </w:rPr>
              <w:t>progression</w:t>
            </w:r>
          </w:p>
        </w:tc>
      </w:tr>
      <w:tr w:rsidR="00846321" w14:paraId="2F2714E4" w14:textId="77777777" w:rsidTr="007A3339">
        <w:trPr>
          <w:trHeight w:val="4256"/>
        </w:trPr>
        <w:tc>
          <w:tcPr>
            <w:tcW w:w="9356" w:type="dxa"/>
          </w:tcPr>
          <w:p w14:paraId="609FA4B1" w14:textId="77777777" w:rsidR="00846321" w:rsidRDefault="00846321" w:rsidP="007A3339">
            <w:pPr>
              <w:pStyle w:val="TableParagraph"/>
              <w:spacing w:before="106"/>
              <w:rPr>
                <w:spacing w:val="-2"/>
              </w:rPr>
            </w:pPr>
            <w:r>
              <w:rPr>
                <w:spacing w:val="-2"/>
              </w:rPr>
              <w:t xml:space="preserve">2024/25 capital plans include the continuation and, in most cases, the completion of </w:t>
            </w:r>
            <w:proofErr w:type="gramStart"/>
            <w:r>
              <w:rPr>
                <w:spacing w:val="-2"/>
              </w:rPr>
              <w:t>a number of</w:t>
            </w:r>
            <w:proofErr w:type="gramEnd"/>
            <w:r>
              <w:rPr>
                <w:spacing w:val="-2"/>
              </w:rPr>
              <w:t xml:space="preserve"> schemes that commenced in previous years. All of these are funded by PDC and are as follows:</w:t>
            </w:r>
          </w:p>
          <w:p w14:paraId="677E0539" w14:textId="77777777" w:rsidR="00846321" w:rsidRDefault="00846321" w:rsidP="007D6C00">
            <w:pPr>
              <w:pStyle w:val="TableParagraph"/>
              <w:numPr>
                <w:ilvl w:val="0"/>
                <w:numId w:val="8"/>
              </w:numPr>
              <w:spacing w:before="106"/>
              <w:rPr>
                <w:spacing w:val="-2"/>
              </w:rPr>
            </w:pPr>
            <w:r>
              <w:rPr>
                <w:spacing w:val="-2"/>
              </w:rPr>
              <w:t>Targeted Investment Fund (elective capacity) - £6m to be spent to complete schemes at Lancashire Teaching Hospitals NHS Foundation Trust (LTHT), Blackpool Teaching Hospitals NHS Foundation Trust (BTH) and East Lancashire Hospitals NHS Trust (ELHT).</w:t>
            </w:r>
          </w:p>
          <w:p w14:paraId="689B3D43" w14:textId="77777777" w:rsidR="00846321" w:rsidRDefault="00846321" w:rsidP="007D6C00">
            <w:pPr>
              <w:pStyle w:val="TableParagraph"/>
              <w:numPr>
                <w:ilvl w:val="0"/>
                <w:numId w:val="8"/>
              </w:numPr>
              <w:spacing w:before="106"/>
              <w:rPr>
                <w:spacing w:val="-2"/>
              </w:rPr>
            </w:pPr>
            <w:r>
              <w:rPr>
                <w:spacing w:val="-2"/>
              </w:rPr>
              <w:t xml:space="preserve">Community Diagnostic </w:t>
            </w:r>
            <w:proofErr w:type="spellStart"/>
            <w:r>
              <w:rPr>
                <w:spacing w:val="-2"/>
              </w:rPr>
              <w:t>Centres</w:t>
            </w:r>
            <w:proofErr w:type="spellEnd"/>
            <w:r>
              <w:rPr>
                <w:spacing w:val="-2"/>
              </w:rPr>
              <w:t xml:space="preserve"> - £5.4m to be spent to complete schemes at BTH, ELHT, LTHT and UHMB.</w:t>
            </w:r>
          </w:p>
          <w:p w14:paraId="268A2036" w14:textId="77777777" w:rsidR="00846321" w:rsidRDefault="00846321" w:rsidP="007D6C00">
            <w:pPr>
              <w:pStyle w:val="TableParagraph"/>
              <w:numPr>
                <w:ilvl w:val="0"/>
                <w:numId w:val="8"/>
              </w:numPr>
              <w:spacing w:before="106"/>
              <w:rPr>
                <w:spacing w:val="-2"/>
              </w:rPr>
            </w:pPr>
            <w:r>
              <w:rPr>
                <w:spacing w:val="-2"/>
              </w:rPr>
              <w:t>Learning Disabilities and Autism facility - £29.9m to be spent to complete the scheme at Lancashire and South Cumbria NHS Foundation Trust (LSCFT).</w:t>
            </w:r>
          </w:p>
          <w:p w14:paraId="1C028E89" w14:textId="77777777" w:rsidR="00846321" w:rsidRDefault="00846321" w:rsidP="007D6C00">
            <w:pPr>
              <w:pStyle w:val="TableParagraph"/>
              <w:numPr>
                <w:ilvl w:val="0"/>
                <w:numId w:val="8"/>
              </w:numPr>
              <w:spacing w:before="106"/>
              <w:rPr>
                <w:spacing w:val="-2"/>
              </w:rPr>
            </w:pPr>
            <w:r>
              <w:rPr>
                <w:spacing w:val="-2"/>
              </w:rPr>
              <w:t>Electronic Patient Records - £7.9m to be spend in 2024/25 and £7.6m in 2025/26 at BTH.</w:t>
            </w:r>
          </w:p>
          <w:p w14:paraId="2922EC39" w14:textId="77777777" w:rsidR="00846321" w:rsidRDefault="00846321" w:rsidP="007D6C00">
            <w:pPr>
              <w:pStyle w:val="TableParagraph"/>
              <w:numPr>
                <w:ilvl w:val="0"/>
                <w:numId w:val="8"/>
              </w:numPr>
              <w:spacing w:before="106"/>
              <w:rPr>
                <w:spacing w:val="-2"/>
              </w:rPr>
            </w:pPr>
            <w:r>
              <w:rPr>
                <w:spacing w:val="-2"/>
              </w:rPr>
              <w:t>New Hospital Programme – further £2.7m to be spent in 2024/25 to progress the business case.</w:t>
            </w:r>
          </w:p>
          <w:p w14:paraId="51687396" w14:textId="77777777" w:rsidR="00846321" w:rsidRPr="008220A8" w:rsidRDefault="00846321" w:rsidP="007A3339">
            <w:pPr>
              <w:pStyle w:val="TableParagraph"/>
              <w:spacing w:before="106"/>
              <w:ind w:left="360"/>
              <w:rPr>
                <w:spacing w:val="-2"/>
              </w:rPr>
            </w:pPr>
          </w:p>
        </w:tc>
      </w:tr>
    </w:tbl>
    <w:p w14:paraId="095928AD" w14:textId="77777777" w:rsidR="00846321" w:rsidRDefault="00846321" w:rsidP="00846321">
      <w:pPr>
        <w:pStyle w:val="BodyText"/>
        <w:rPr>
          <w:sz w:val="20"/>
        </w:rPr>
      </w:pPr>
    </w:p>
    <w:p w14:paraId="3C7A3104" w14:textId="77777777" w:rsidR="00846321" w:rsidRDefault="00846321" w:rsidP="00846321">
      <w:pPr>
        <w:pStyle w:val="BodyText"/>
        <w:spacing w:before="191"/>
        <w:rPr>
          <w:sz w:val="20"/>
        </w:rPr>
      </w:pPr>
    </w:p>
    <w:p w14:paraId="1438E7BB" w14:textId="77777777" w:rsidR="006F167D" w:rsidRDefault="006F167D" w:rsidP="00846321">
      <w:pPr>
        <w:pStyle w:val="BodyText"/>
        <w:spacing w:before="191"/>
        <w:rPr>
          <w:sz w:val="20"/>
        </w:rPr>
      </w:pPr>
    </w:p>
    <w:p w14:paraId="4281ABB4" w14:textId="77777777" w:rsidR="006F167D" w:rsidRDefault="006F167D" w:rsidP="00846321">
      <w:pPr>
        <w:pStyle w:val="BodyText"/>
        <w:spacing w:before="191"/>
        <w:rPr>
          <w:sz w:val="20"/>
        </w:rPr>
      </w:pPr>
    </w:p>
    <w:p w14:paraId="67BD0C52" w14:textId="77777777" w:rsidR="006F167D" w:rsidRDefault="006F167D" w:rsidP="00846321">
      <w:pPr>
        <w:pStyle w:val="BodyText"/>
        <w:spacing w:before="191"/>
        <w:rPr>
          <w:sz w:val="20"/>
        </w:rPr>
      </w:pPr>
    </w:p>
    <w:p w14:paraId="2D23F737" w14:textId="77777777" w:rsidR="006F167D" w:rsidRDefault="006F167D" w:rsidP="00846321">
      <w:pPr>
        <w:pStyle w:val="BodyText"/>
        <w:spacing w:before="191"/>
        <w:rPr>
          <w:sz w:val="20"/>
        </w:rPr>
      </w:pPr>
    </w:p>
    <w:p w14:paraId="582892DE" w14:textId="77777777" w:rsidR="006F167D" w:rsidRDefault="006F167D" w:rsidP="00846321">
      <w:pPr>
        <w:pStyle w:val="BodyText"/>
        <w:spacing w:before="191"/>
        <w:rPr>
          <w:sz w:val="20"/>
        </w:rPr>
      </w:pPr>
    </w:p>
    <w:tbl>
      <w:tblPr>
        <w:tblW w:w="0" w:type="auto"/>
        <w:tblInd w:w="1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356"/>
      </w:tblGrid>
      <w:tr w:rsidR="00846321" w14:paraId="2E58785C" w14:textId="77777777" w:rsidTr="007A3339">
        <w:trPr>
          <w:trHeight w:val="639"/>
        </w:trPr>
        <w:tc>
          <w:tcPr>
            <w:tcW w:w="9356" w:type="dxa"/>
            <w:shd w:val="clear" w:color="auto" w:fill="006FC0"/>
          </w:tcPr>
          <w:p w14:paraId="36B73AD3" w14:textId="77777777" w:rsidR="00846321" w:rsidRDefault="00846321" w:rsidP="007A3339">
            <w:pPr>
              <w:pStyle w:val="TableParagraph"/>
              <w:spacing w:before="84"/>
              <w:rPr>
                <w:b/>
                <w:sz w:val="24"/>
              </w:rPr>
            </w:pPr>
            <w:r>
              <w:rPr>
                <w:b/>
                <w:color w:val="FFFFFF"/>
                <w:sz w:val="24"/>
              </w:rPr>
              <w:t>Risks</w:t>
            </w:r>
            <w:r>
              <w:rPr>
                <w:b/>
                <w:color w:val="FFFFFF"/>
                <w:spacing w:val="-10"/>
                <w:sz w:val="24"/>
              </w:rPr>
              <w:t xml:space="preserve"> </w:t>
            </w:r>
            <w:r>
              <w:rPr>
                <w:b/>
                <w:color w:val="FFFFFF"/>
                <w:sz w:val="24"/>
              </w:rPr>
              <w:t>and</w:t>
            </w:r>
            <w:r>
              <w:rPr>
                <w:b/>
                <w:color w:val="FFFFFF"/>
                <w:spacing w:val="-8"/>
                <w:sz w:val="24"/>
              </w:rPr>
              <w:t xml:space="preserve"> </w:t>
            </w:r>
            <w:r>
              <w:rPr>
                <w:b/>
                <w:color w:val="FFFFFF"/>
                <w:spacing w:val="-2"/>
                <w:sz w:val="24"/>
              </w:rPr>
              <w:t>contingencies</w:t>
            </w:r>
          </w:p>
        </w:tc>
      </w:tr>
      <w:tr w:rsidR="00846321" w14:paraId="310A7A45" w14:textId="77777777" w:rsidTr="006F167D">
        <w:trPr>
          <w:trHeight w:val="2460"/>
        </w:trPr>
        <w:tc>
          <w:tcPr>
            <w:tcW w:w="9356" w:type="dxa"/>
          </w:tcPr>
          <w:p w14:paraId="130E34BF" w14:textId="77777777" w:rsidR="00846321" w:rsidRPr="006F167D" w:rsidRDefault="00846321" w:rsidP="006F167D">
            <w:pPr>
              <w:widowControl w:val="0"/>
              <w:autoSpaceDE w:val="0"/>
              <w:autoSpaceDN w:val="0"/>
              <w:spacing w:after="0" w:line="240" w:lineRule="auto"/>
              <w:rPr>
                <w:sz w:val="22"/>
              </w:rPr>
            </w:pPr>
            <w:r w:rsidRPr="006F167D">
              <w:rPr>
                <w:sz w:val="22"/>
              </w:rPr>
              <w:t>The main risk to capital plans in 2024/25 is the risk of inflation creating an in-year pressure on budgets.  The risk will be managed through tight monitoring of spend in-year.  Given the ICB and provider track records of spending within capital allocations the risk is considered as low risk.</w:t>
            </w:r>
          </w:p>
          <w:p w14:paraId="230A3644" w14:textId="77777777" w:rsidR="00846321" w:rsidRPr="006F167D" w:rsidRDefault="00846321" w:rsidP="007A3339">
            <w:pPr>
              <w:pStyle w:val="TableParagraph"/>
              <w:tabs>
                <w:tab w:val="left" w:pos="828"/>
              </w:tabs>
              <w:spacing w:line="269" w:lineRule="exact"/>
              <w:ind w:left="0"/>
            </w:pPr>
          </w:p>
          <w:p w14:paraId="59D08EFE" w14:textId="77777777" w:rsidR="00846321" w:rsidRPr="00650E87" w:rsidRDefault="00846321" w:rsidP="006F167D">
            <w:pPr>
              <w:pStyle w:val="TableParagraph"/>
              <w:tabs>
                <w:tab w:val="left" w:pos="828"/>
              </w:tabs>
              <w:spacing w:line="269" w:lineRule="exact"/>
              <w:ind w:left="0"/>
              <w:rPr>
                <w:sz w:val="24"/>
                <w:szCs w:val="24"/>
              </w:rPr>
            </w:pPr>
            <w:r w:rsidRPr="006F167D">
              <w:t xml:space="preserve">The other risk relates to IFRS16 (lease) spend where planned expenditure is currently £61m against an indicative allocation of £34.7m.  This will be managed as in 2023/24 with regular dialogue with NHS England and providers. </w:t>
            </w:r>
          </w:p>
        </w:tc>
      </w:tr>
    </w:tbl>
    <w:p w14:paraId="7A01744B" w14:textId="77777777" w:rsidR="00846321" w:rsidRDefault="00846321" w:rsidP="00846321">
      <w:pPr>
        <w:pStyle w:val="BodyText"/>
        <w:rPr>
          <w:sz w:val="20"/>
        </w:rPr>
      </w:pPr>
    </w:p>
    <w:tbl>
      <w:tblPr>
        <w:tblW w:w="0" w:type="auto"/>
        <w:tblInd w:w="1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356"/>
      </w:tblGrid>
      <w:tr w:rsidR="00846321" w14:paraId="2893D277" w14:textId="77777777" w:rsidTr="007A3339">
        <w:trPr>
          <w:trHeight w:val="640"/>
        </w:trPr>
        <w:tc>
          <w:tcPr>
            <w:tcW w:w="9356" w:type="dxa"/>
            <w:shd w:val="clear" w:color="auto" w:fill="006FC0"/>
          </w:tcPr>
          <w:p w14:paraId="721EF46C" w14:textId="77777777" w:rsidR="00846321" w:rsidRDefault="00846321" w:rsidP="007A3339">
            <w:pPr>
              <w:pStyle w:val="TableParagraph"/>
              <w:spacing w:before="85"/>
              <w:rPr>
                <w:b/>
                <w:sz w:val="24"/>
              </w:rPr>
            </w:pPr>
            <w:r>
              <w:rPr>
                <w:b/>
                <w:color w:val="FFFFFF"/>
                <w:sz w:val="24"/>
              </w:rPr>
              <w:t>Business</w:t>
            </w:r>
            <w:r>
              <w:rPr>
                <w:b/>
                <w:color w:val="FFFFFF"/>
                <w:spacing w:val="-4"/>
                <w:sz w:val="24"/>
              </w:rPr>
              <w:t xml:space="preserve"> </w:t>
            </w:r>
            <w:r>
              <w:rPr>
                <w:b/>
                <w:color w:val="FFFFFF"/>
                <w:sz w:val="24"/>
              </w:rPr>
              <w:t>cases</w:t>
            </w:r>
            <w:r>
              <w:rPr>
                <w:b/>
                <w:color w:val="FFFFFF"/>
                <w:spacing w:val="-4"/>
                <w:sz w:val="24"/>
              </w:rPr>
              <w:t xml:space="preserve"> </w:t>
            </w:r>
            <w:r>
              <w:rPr>
                <w:b/>
                <w:color w:val="FFFFFF"/>
                <w:sz w:val="24"/>
              </w:rPr>
              <w:t>in</w:t>
            </w:r>
            <w:r>
              <w:rPr>
                <w:b/>
                <w:color w:val="FFFFFF"/>
                <w:spacing w:val="-5"/>
                <w:sz w:val="24"/>
              </w:rPr>
              <w:t xml:space="preserve"> </w:t>
            </w:r>
            <w:r>
              <w:rPr>
                <w:b/>
                <w:color w:val="FFFFFF"/>
                <w:spacing w:val="-2"/>
                <w:sz w:val="24"/>
              </w:rPr>
              <w:t>2024/25</w:t>
            </w:r>
          </w:p>
        </w:tc>
      </w:tr>
      <w:tr w:rsidR="00846321" w14:paraId="5E8EE85C" w14:textId="77777777" w:rsidTr="007A3339">
        <w:trPr>
          <w:trHeight w:val="2456"/>
        </w:trPr>
        <w:tc>
          <w:tcPr>
            <w:tcW w:w="9356" w:type="dxa"/>
          </w:tcPr>
          <w:p w14:paraId="49FDE331" w14:textId="77777777" w:rsidR="00846321" w:rsidRPr="006F167D" w:rsidRDefault="00846321" w:rsidP="007A3339">
            <w:pPr>
              <w:pStyle w:val="TableParagraph"/>
              <w:tabs>
                <w:tab w:val="left" w:pos="828"/>
              </w:tabs>
              <w:spacing w:line="254" w:lineRule="exact"/>
              <w:ind w:right="541"/>
            </w:pPr>
            <w:r w:rsidRPr="006F167D">
              <w:t>The main business cases linked to the 2024/25 capital plan are:</w:t>
            </w:r>
          </w:p>
          <w:p w14:paraId="2C019EFA" w14:textId="77777777" w:rsidR="00846321" w:rsidRPr="006F167D" w:rsidRDefault="00846321" w:rsidP="007A3339">
            <w:pPr>
              <w:pStyle w:val="TableParagraph"/>
              <w:tabs>
                <w:tab w:val="left" w:pos="828"/>
              </w:tabs>
              <w:spacing w:line="254" w:lineRule="exact"/>
              <w:ind w:right="541"/>
            </w:pPr>
          </w:p>
          <w:p w14:paraId="553C9DEF" w14:textId="64878E63" w:rsidR="00846321" w:rsidRPr="006F167D" w:rsidRDefault="00846321" w:rsidP="007D6C00">
            <w:pPr>
              <w:pStyle w:val="ListParagraph"/>
              <w:widowControl w:val="0"/>
              <w:numPr>
                <w:ilvl w:val="0"/>
                <w:numId w:val="10"/>
              </w:numPr>
              <w:autoSpaceDE w:val="0"/>
              <w:autoSpaceDN w:val="0"/>
              <w:spacing w:after="0" w:line="240" w:lineRule="auto"/>
              <w:ind w:left="873" w:hanging="426"/>
              <w:contextualSpacing w:val="0"/>
              <w:rPr>
                <w:sz w:val="22"/>
              </w:rPr>
            </w:pPr>
            <w:r w:rsidRPr="006F167D">
              <w:rPr>
                <w:sz w:val="22"/>
              </w:rPr>
              <w:t xml:space="preserve">Learning Disabilities and Autism.  The OBC was approved by NHSE in 2023/24 and the FBC is expected to be approved early in </w:t>
            </w:r>
            <w:r w:rsidR="006F167D" w:rsidRPr="006F167D">
              <w:rPr>
                <w:sz w:val="22"/>
              </w:rPr>
              <w:t>the summer of 2024/25</w:t>
            </w:r>
            <w:r w:rsidRPr="006F167D">
              <w:rPr>
                <w:sz w:val="22"/>
              </w:rPr>
              <w:t xml:space="preserve"> with £32m spent in total with completing expected by 31</w:t>
            </w:r>
            <w:r w:rsidRPr="006F167D">
              <w:rPr>
                <w:sz w:val="22"/>
                <w:vertAlign w:val="superscript"/>
              </w:rPr>
              <w:t>st</w:t>
            </w:r>
            <w:r w:rsidRPr="006F167D">
              <w:rPr>
                <w:sz w:val="22"/>
              </w:rPr>
              <w:t xml:space="preserve"> March 2025.</w:t>
            </w:r>
          </w:p>
          <w:p w14:paraId="03AD3CA7" w14:textId="77777777" w:rsidR="00846321" w:rsidRPr="006F167D" w:rsidRDefault="00846321" w:rsidP="007D6C00">
            <w:pPr>
              <w:pStyle w:val="ListParagraph"/>
              <w:widowControl w:val="0"/>
              <w:numPr>
                <w:ilvl w:val="0"/>
                <w:numId w:val="10"/>
              </w:numPr>
              <w:autoSpaceDE w:val="0"/>
              <w:autoSpaceDN w:val="0"/>
              <w:spacing w:after="0" w:line="240" w:lineRule="auto"/>
              <w:ind w:left="873" w:hanging="426"/>
              <w:contextualSpacing w:val="0"/>
              <w:rPr>
                <w:sz w:val="22"/>
              </w:rPr>
            </w:pPr>
            <w:r w:rsidRPr="006F167D">
              <w:rPr>
                <w:sz w:val="22"/>
              </w:rPr>
              <w:t>EPR business cases at BTH and UHMB are in the process of being agreed with NHSE.</w:t>
            </w:r>
          </w:p>
          <w:p w14:paraId="1AADCDE8" w14:textId="77777777" w:rsidR="00846321" w:rsidRPr="006F167D" w:rsidRDefault="00846321" w:rsidP="007D6C00">
            <w:pPr>
              <w:pStyle w:val="ListParagraph"/>
              <w:widowControl w:val="0"/>
              <w:numPr>
                <w:ilvl w:val="0"/>
                <w:numId w:val="10"/>
              </w:numPr>
              <w:autoSpaceDE w:val="0"/>
              <w:autoSpaceDN w:val="0"/>
              <w:spacing w:after="0" w:line="240" w:lineRule="auto"/>
              <w:ind w:left="873" w:hanging="426"/>
              <w:contextualSpacing w:val="0"/>
              <w:rPr>
                <w:sz w:val="22"/>
              </w:rPr>
            </w:pPr>
            <w:r w:rsidRPr="006F167D">
              <w:rPr>
                <w:sz w:val="22"/>
              </w:rPr>
              <w:t>The business case for a system-wide pathology shared service continues to be developed.</w:t>
            </w:r>
          </w:p>
          <w:p w14:paraId="3C377BC7" w14:textId="77777777" w:rsidR="00846321" w:rsidRPr="006F167D" w:rsidRDefault="00846321" w:rsidP="007D6C00">
            <w:pPr>
              <w:pStyle w:val="ListParagraph"/>
              <w:widowControl w:val="0"/>
              <w:numPr>
                <w:ilvl w:val="0"/>
                <w:numId w:val="9"/>
              </w:numPr>
              <w:autoSpaceDE w:val="0"/>
              <w:autoSpaceDN w:val="0"/>
              <w:spacing w:after="0" w:line="240" w:lineRule="auto"/>
              <w:contextualSpacing w:val="0"/>
              <w:rPr>
                <w:sz w:val="22"/>
              </w:rPr>
            </w:pPr>
            <w:r w:rsidRPr="006F167D">
              <w:rPr>
                <w:sz w:val="22"/>
              </w:rPr>
              <w:t xml:space="preserve">Investment and Capital Plans for providers in Lancashire and South Cumbria will be assessed with consideration to the Infrastructure Strategy. Trusts will also be developing their own Trust-specific infrastructure / estates strategies which will be picking up the key requirements from the Lancashire and South Cumbria strategy. Specific Business Cases will be </w:t>
            </w:r>
            <w:proofErr w:type="gramStart"/>
            <w:r w:rsidRPr="006F167D">
              <w:rPr>
                <w:sz w:val="22"/>
              </w:rPr>
              <w:t>making reference</w:t>
            </w:r>
            <w:proofErr w:type="gramEnd"/>
            <w:r w:rsidRPr="006F167D">
              <w:rPr>
                <w:sz w:val="22"/>
              </w:rPr>
              <w:t xml:space="preserve"> to the Trust and ICB infrastructure strategies.</w:t>
            </w:r>
          </w:p>
          <w:p w14:paraId="5359036D" w14:textId="77777777" w:rsidR="00846321" w:rsidRPr="006F167D" w:rsidRDefault="00846321" w:rsidP="007D6C00">
            <w:pPr>
              <w:pStyle w:val="ListParagraph"/>
              <w:widowControl w:val="0"/>
              <w:numPr>
                <w:ilvl w:val="0"/>
                <w:numId w:val="9"/>
              </w:numPr>
              <w:autoSpaceDE w:val="0"/>
              <w:autoSpaceDN w:val="0"/>
              <w:spacing w:after="0" w:line="240" w:lineRule="auto"/>
              <w:contextualSpacing w:val="0"/>
              <w:rPr>
                <w:sz w:val="22"/>
              </w:rPr>
            </w:pPr>
            <w:r w:rsidRPr="006F167D">
              <w:rPr>
                <w:sz w:val="22"/>
              </w:rPr>
              <w:t>Two of the Trusts in Lancashire and South Cumbria (University Hospitals Morecambe Bay and Lancashire Teaching Hospitals) have been successful in being accepted onto the New Hospital Programme for the provision of new hospitals on new sites. These will replace the existing hospitals on the Lancaster and Preston sites. This investment has a planned delivery date of 2035 reflecting the long-term nature of larger investments into the NHS.</w:t>
            </w:r>
          </w:p>
          <w:p w14:paraId="2F13E521" w14:textId="45BF32AA" w:rsidR="00846321" w:rsidRPr="006F167D" w:rsidRDefault="00846321" w:rsidP="007D6C00">
            <w:pPr>
              <w:pStyle w:val="ListParagraph"/>
              <w:widowControl w:val="0"/>
              <w:numPr>
                <w:ilvl w:val="0"/>
                <w:numId w:val="9"/>
              </w:numPr>
              <w:autoSpaceDE w:val="0"/>
              <w:autoSpaceDN w:val="0"/>
              <w:spacing w:after="0" w:line="240" w:lineRule="auto"/>
              <w:contextualSpacing w:val="0"/>
              <w:rPr>
                <w:sz w:val="22"/>
              </w:rPr>
            </w:pPr>
            <w:r w:rsidRPr="006F167D">
              <w:rPr>
                <w:sz w:val="22"/>
              </w:rPr>
              <w:t xml:space="preserve">Lancashire and South Cumbria have also been successful in obtaining some grant funding towards delivering investments into two of the CHP-owned LIFT buildings in East Lancashire. This investment requires match funding by CHP/DH and where available the LIFT Cos. There isn’t currently a funding source between </w:t>
            </w:r>
            <w:r w:rsidR="00F42109">
              <w:rPr>
                <w:sz w:val="22"/>
              </w:rPr>
              <w:t>Department for Health and Social Care (</w:t>
            </w:r>
            <w:r w:rsidRPr="006F167D">
              <w:rPr>
                <w:sz w:val="22"/>
              </w:rPr>
              <w:t>DH</w:t>
            </w:r>
            <w:r w:rsidR="00F42109">
              <w:rPr>
                <w:sz w:val="22"/>
              </w:rPr>
              <w:t>SC)</w:t>
            </w:r>
            <w:r w:rsidRPr="006F167D">
              <w:rPr>
                <w:sz w:val="22"/>
              </w:rPr>
              <w:t xml:space="preserve"> and CHP for Net Zero upgrades to their estate. These upgrades will need to have been completed by 2040. The ICB continue to work with CHP and LIFT Cos to gain support of these longer-term plans.</w:t>
            </w:r>
          </w:p>
          <w:p w14:paraId="1272F0DC" w14:textId="77777777" w:rsidR="00846321" w:rsidRPr="006F167D" w:rsidRDefault="00846321" w:rsidP="007A3339">
            <w:pPr>
              <w:pStyle w:val="TableParagraph"/>
              <w:tabs>
                <w:tab w:val="left" w:pos="828"/>
              </w:tabs>
              <w:spacing w:line="254" w:lineRule="exact"/>
              <w:ind w:left="827" w:right="541"/>
            </w:pPr>
          </w:p>
        </w:tc>
      </w:tr>
    </w:tbl>
    <w:p w14:paraId="2B74F35B" w14:textId="77777777" w:rsidR="00846321" w:rsidRDefault="00846321" w:rsidP="00846321">
      <w:pPr>
        <w:spacing w:line="254" w:lineRule="exact"/>
        <w:sectPr w:rsidR="00846321" w:rsidSect="00175EF9">
          <w:type w:val="continuous"/>
          <w:pgSz w:w="11910" w:h="16840"/>
          <w:pgMar w:top="1600" w:right="1100" w:bottom="1140" w:left="920" w:header="567" w:footer="952" w:gutter="0"/>
          <w:cols w:space="720"/>
        </w:sectPr>
      </w:pPr>
    </w:p>
    <w:p w14:paraId="40A8AD0B" w14:textId="77777777" w:rsidR="00846321" w:rsidRDefault="00846321" w:rsidP="00846321">
      <w:pPr>
        <w:pStyle w:val="BodyText"/>
        <w:spacing w:before="159" w:after="1"/>
        <w:rPr>
          <w:sz w:val="20"/>
        </w:rPr>
      </w:pPr>
    </w:p>
    <w:tbl>
      <w:tblPr>
        <w:tblW w:w="0" w:type="auto"/>
        <w:tblInd w:w="1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356"/>
      </w:tblGrid>
      <w:tr w:rsidR="00846321" w14:paraId="77AD01CE" w14:textId="77777777" w:rsidTr="007A3339">
        <w:trPr>
          <w:trHeight w:val="640"/>
        </w:trPr>
        <w:tc>
          <w:tcPr>
            <w:tcW w:w="9356" w:type="dxa"/>
            <w:shd w:val="clear" w:color="auto" w:fill="006FC0"/>
          </w:tcPr>
          <w:p w14:paraId="220367AC" w14:textId="77777777" w:rsidR="00846321" w:rsidRDefault="00846321" w:rsidP="007A3339">
            <w:pPr>
              <w:pStyle w:val="TableParagraph"/>
              <w:spacing w:before="84"/>
              <w:rPr>
                <w:b/>
                <w:sz w:val="24"/>
              </w:rPr>
            </w:pPr>
            <w:r>
              <w:rPr>
                <w:b/>
                <w:color w:val="FFFFFF"/>
                <w:sz w:val="24"/>
              </w:rPr>
              <w:t>Cross-system</w:t>
            </w:r>
            <w:r>
              <w:rPr>
                <w:b/>
                <w:color w:val="FFFFFF"/>
                <w:spacing w:val="-16"/>
                <w:sz w:val="24"/>
              </w:rPr>
              <w:t xml:space="preserve"> </w:t>
            </w:r>
            <w:r>
              <w:rPr>
                <w:b/>
                <w:color w:val="FFFFFF"/>
                <w:sz w:val="24"/>
              </w:rPr>
              <w:t>and</w:t>
            </w:r>
            <w:r>
              <w:rPr>
                <w:b/>
                <w:color w:val="FFFFFF"/>
                <w:spacing w:val="-16"/>
                <w:sz w:val="24"/>
              </w:rPr>
              <w:t xml:space="preserve"> </w:t>
            </w:r>
            <w:r>
              <w:rPr>
                <w:b/>
                <w:color w:val="FFFFFF"/>
                <w:sz w:val="24"/>
              </w:rPr>
              <w:t>collaborative</w:t>
            </w:r>
            <w:r>
              <w:rPr>
                <w:b/>
                <w:color w:val="FFFFFF"/>
                <w:spacing w:val="-16"/>
                <w:sz w:val="24"/>
              </w:rPr>
              <w:t xml:space="preserve"> </w:t>
            </w:r>
            <w:r>
              <w:rPr>
                <w:b/>
                <w:color w:val="FFFFFF"/>
                <w:spacing w:val="-2"/>
                <w:sz w:val="24"/>
              </w:rPr>
              <w:t>working</w:t>
            </w:r>
          </w:p>
        </w:tc>
      </w:tr>
      <w:tr w:rsidR="00846321" w14:paraId="1AE143C0" w14:textId="77777777" w:rsidTr="006F167D">
        <w:trPr>
          <w:trHeight w:val="1627"/>
        </w:trPr>
        <w:tc>
          <w:tcPr>
            <w:tcW w:w="9356" w:type="dxa"/>
          </w:tcPr>
          <w:p w14:paraId="432B3140" w14:textId="77777777" w:rsidR="00846321" w:rsidRPr="006F167D" w:rsidRDefault="00846321" w:rsidP="007A3339">
            <w:pPr>
              <w:rPr>
                <w:sz w:val="22"/>
              </w:rPr>
            </w:pPr>
            <w:r w:rsidRPr="006F167D">
              <w:rPr>
                <w:sz w:val="22"/>
              </w:rPr>
              <w:t>Northwest Ambulance Service NHS Trust (NWAS) operates across all ICBs in the Northwest region and as such the capital expenditure incurred by them directly impacts these systems.</w:t>
            </w:r>
          </w:p>
          <w:p w14:paraId="73F76256" w14:textId="77777777" w:rsidR="00846321" w:rsidRPr="006F167D" w:rsidRDefault="00846321" w:rsidP="007A3339">
            <w:pPr>
              <w:rPr>
                <w:sz w:val="22"/>
              </w:rPr>
            </w:pPr>
            <w:r w:rsidRPr="006F167D">
              <w:rPr>
                <w:sz w:val="22"/>
              </w:rPr>
              <w:t>The ICB works closely with Cheshire and Merseyside ICB on capital plans for Southport and Ormskirk Hospitals NHS Trust.</w:t>
            </w:r>
          </w:p>
          <w:p w14:paraId="748484A2" w14:textId="77777777" w:rsidR="00846321" w:rsidRDefault="00846321" w:rsidP="007A3339">
            <w:pPr>
              <w:pStyle w:val="TableParagraph"/>
              <w:tabs>
                <w:tab w:val="left" w:pos="828"/>
              </w:tabs>
              <w:ind w:right="791"/>
            </w:pPr>
          </w:p>
        </w:tc>
      </w:tr>
    </w:tbl>
    <w:p w14:paraId="4EF0CAD5" w14:textId="77777777" w:rsidR="00846321" w:rsidRDefault="00846321" w:rsidP="00846321">
      <w:pPr>
        <w:pStyle w:val="BodyText"/>
        <w:rPr>
          <w:sz w:val="20"/>
        </w:rPr>
      </w:pPr>
    </w:p>
    <w:tbl>
      <w:tblPr>
        <w:tblW w:w="0" w:type="auto"/>
        <w:tblInd w:w="1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9356"/>
      </w:tblGrid>
      <w:tr w:rsidR="00846321" w14:paraId="6DE60E22" w14:textId="77777777" w:rsidTr="007A3339">
        <w:trPr>
          <w:trHeight w:val="639"/>
        </w:trPr>
        <w:tc>
          <w:tcPr>
            <w:tcW w:w="9356" w:type="dxa"/>
            <w:shd w:val="clear" w:color="auto" w:fill="006FC0"/>
          </w:tcPr>
          <w:p w14:paraId="141B144A" w14:textId="77777777" w:rsidR="00846321" w:rsidRDefault="00846321" w:rsidP="007A3339">
            <w:pPr>
              <w:pStyle w:val="TableParagraph"/>
              <w:spacing w:before="84"/>
              <w:rPr>
                <w:b/>
                <w:sz w:val="24"/>
              </w:rPr>
            </w:pPr>
            <w:r>
              <w:rPr>
                <w:b/>
                <w:color w:val="FFFFFF"/>
                <w:sz w:val="24"/>
              </w:rPr>
              <w:t>Net</w:t>
            </w:r>
            <w:r>
              <w:rPr>
                <w:b/>
                <w:color w:val="FFFFFF"/>
                <w:spacing w:val="-2"/>
                <w:sz w:val="24"/>
              </w:rPr>
              <w:t xml:space="preserve"> </w:t>
            </w:r>
            <w:r>
              <w:rPr>
                <w:b/>
                <w:color w:val="FFFFFF"/>
                <w:sz w:val="24"/>
              </w:rPr>
              <w:t>zero</w:t>
            </w:r>
            <w:r>
              <w:rPr>
                <w:b/>
                <w:color w:val="FFFFFF"/>
                <w:spacing w:val="-2"/>
                <w:sz w:val="24"/>
              </w:rPr>
              <w:t xml:space="preserve"> </w:t>
            </w:r>
            <w:r>
              <w:rPr>
                <w:b/>
                <w:color w:val="FFFFFF"/>
                <w:sz w:val="24"/>
              </w:rPr>
              <w:t>carbon</w:t>
            </w:r>
            <w:r>
              <w:rPr>
                <w:b/>
                <w:color w:val="FFFFFF"/>
                <w:spacing w:val="-3"/>
                <w:sz w:val="24"/>
              </w:rPr>
              <w:t xml:space="preserve"> </w:t>
            </w:r>
            <w:r>
              <w:rPr>
                <w:b/>
                <w:color w:val="FFFFFF"/>
                <w:spacing w:val="-2"/>
                <w:sz w:val="24"/>
              </w:rPr>
              <w:t>strategy</w:t>
            </w:r>
          </w:p>
        </w:tc>
      </w:tr>
      <w:tr w:rsidR="00846321" w14:paraId="7BD17B0B" w14:textId="77777777" w:rsidTr="007A3339">
        <w:trPr>
          <w:trHeight w:val="2188"/>
        </w:trPr>
        <w:tc>
          <w:tcPr>
            <w:tcW w:w="9356" w:type="dxa"/>
          </w:tcPr>
          <w:p w14:paraId="2DB9117C" w14:textId="77777777" w:rsidR="00846321" w:rsidRDefault="00846321" w:rsidP="006F167D">
            <w:pPr>
              <w:pStyle w:val="TableParagraph"/>
              <w:tabs>
                <w:tab w:val="left" w:pos="828"/>
              </w:tabs>
              <w:ind w:right="164"/>
            </w:pPr>
            <w:r>
              <w:t xml:space="preserve">The ICB has a board endorse Green Plan </w:t>
            </w:r>
            <w:hyperlink r:id="rId15" w:history="1">
              <w:r>
                <w:rPr>
                  <w:rStyle w:val="Hyperlink"/>
                </w:rPr>
                <w:t>Greener NHS :: Green Plan (icb.nhs.uk)</w:t>
              </w:r>
            </w:hyperlink>
            <w:r>
              <w:t xml:space="preserve">  and the Infrastructure Strategy also makes reference to the Green Agenda and the requirements to achieve carbon neutrality. It also highlights the respective timescales to achieve 80%, Net Zero (2040) and Net Zero + (2045).</w:t>
            </w:r>
          </w:p>
          <w:p w14:paraId="2FE08183" w14:textId="77777777" w:rsidR="00846321" w:rsidRDefault="00846321" w:rsidP="007A3339">
            <w:pPr>
              <w:pStyle w:val="TableParagraph"/>
              <w:tabs>
                <w:tab w:val="left" w:pos="828"/>
              </w:tabs>
              <w:ind w:left="828" w:right="164"/>
            </w:pPr>
          </w:p>
          <w:p w14:paraId="52D552A9" w14:textId="77777777" w:rsidR="00846321" w:rsidRDefault="00846321" w:rsidP="006F167D">
            <w:pPr>
              <w:pStyle w:val="TableParagraph"/>
              <w:tabs>
                <w:tab w:val="left" w:pos="828"/>
              </w:tabs>
              <w:ind w:right="164"/>
            </w:pPr>
            <w:r>
              <w:t>The ICB has worked with the Trusts and identified the work required on a hospital site by hospital site basis to achieve Net Zero Carbon. This work is being developed to identify specific costs and the first of three hospitals are currently undergoing this more detailed review. There is a need to complete this work in a consistent way across all the hospitals across Lancashire and South Cumbria.</w:t>
            </w:r>
          </w:p>
          <w:p w14:paraId="5CD0EF97" w14:textId="77777777" w:rsidR="00846321" w:rsidRDefault="00846321" w:rsidP="007A3339">
            <w:pPr>
              <w:pStyle w:val="TableParagraph"/>
              <w:tabs>
                <w:tab w:val="left" w:pos="828"/>
              </w:tabs>
              <w:ind w:left="828" w:right="164"/>
            </w:pPr>
          </w:p>
          <w:p w14:paraId="568457A9" w14:textId="53077282" w:rsidR="00846321" w:rsidRDefault="00846321" w:rsidP="006F167D">
            <w:pPr>
              <w:pStyle w:val="TableParagraph"/>
              <w:tabs>
                <w:tab w:val="left" w:pos="828"/>
              </w:tabs>
              <w:ind w:right="164"/>
            </w:pPr>
            <w:r>
              <w:t>Circa £1M funding was provided by the NHS Energy Efficiency Fund in 23/24 for LED lightning at Blackpool, Lancashire Teaching and East Lancashire Trusts.</w:t>
            </w:r>
          </w:p>
          <w:p w14:paraId="2E23C623" w14:textId="77777777" w:rsidR="00846321" w:rsidRDefault="00846321" w:rsidP="007A3339">
            <w:pPr>
              <w:pStyle w:val="TableParagraph"/>
              <w:tabs>
                <w:tab w:val="left" w:pos="828"/>
              </w:tabs>
              <w:ind w:left="828" w:right="164"/>
            </w:pPr>
          </w:p>
          <w:p w14:paraId="2D74FB17" w14:textId="7FE1E72E" w:rsidR="00846321" w:rsidRDefault="00846321" w:rsidP="006F167D">
            <w:pPr>
              <w:pStyle w:val="TableParagraph"/>
              <w:tabs>
                <w:tab w:val="left" w:pos="828"/>
              </w:tabs>
              <w:ind w:right="314"/>
            </w:pPr>
            <w:r>
              <w:t xml:space="preserve">The ICB and its partners continue to seek and apply for funding where available to reduce its carbon footprint. Some of these grants require differing levels of match funding which need to be assessed at the time against competing capital pressures. Some of the match funding requires contribution by partner </w:t>
            </w:r>
            <w:proofErr w:type="spellStart"/>
            <w:r>
              <w:t>organisations</w:t>
            </w:r>
            <w:proofErr w:type="spellEnd"/>
            <w:r>
              <w:t xml:space="preserve"> or national bodies (eg CHP/DH</w:t>
            </w:r>
            <w:r w:rsidR="00F42109">
              <w:t>SC</w:t>
            </w:r>
            <w:r>
              <w:t>).</w:t>
            </w:r>
          </w:p>
        </w:tc>
      </w:tr>
    </w:tbl>
    <w:p w14:paraId="2E6A3F19" w14:textId="77777777" w:rsidR="00846321" w:rsidRDefault="00846321" w:rsidP="00846321">
      <w:pPr>
        <w:pStyle w:val="BodyText"/>
        <w:rPr>
          <w:sz w:val="20"/>
        </w:rPr>
      </w:pPr>
    </w:p>
    <w:p w14:paraId="3D035D5A" w14:textId="77777777" w:rsidR="00846321" w:rsidRDefault="00846321" w:rsidP="00846321">
      <w:pPr>
        <w:pStyle w:val="BodyText"/>
        <w:spacing w:before="179" w:after="1"/>
        <w:rPr>
          <w:sz w:val="20"/>
        </w:rPr>
      </w:pPr>
    </w:p>
    <w:p w14:paraId="4521132C" w14:textId="77777777" w:rsidR="00846321" w:rsidRDefault="00846321" w:rsidP="00846321"/>
    <w:p w14:paraId="20E951C8" w14:textId="77777777" w:rsidR="00846321" w:rsidRDefault="00846321" w:rsidP="00846321"/>
    <w:p w14:paraId="31F3347B" w14:textId="77777777" w:rsidR="00846321" w:rsidRDefault="00846321" w:rsidP="00846321"/>
    <w:p w14:paraId="5A312FD1" w14:textId="77777777" w:rsidR="00846321" w:rsidRDefault="00846321" w:rsidP="00846321"/>
    <w:p w14:paraId="2C045CAA" w14:textId="77777777" w:rsidR="00846321" w:rsidRDefault="00846321" w:rsidP="00846321"/>
    <w:p w14:paraId="3E63A346" w14:textId="77777777" w:rsidR="00846321" w:rsidRDefault="00846321" w:rsidP="00846321"/>
    <w:p w14:paraId="0F7B9324" w14:textId="77777777" w:rsidR="00846321" w:rsidRDefault="00846321" w:rsidP="00846321"/>
    <w:p w14:paraId="12C89656" w14:textId="77777777" w:rsidR="00846321" w:rsidRDefault="00846321" w:rsidP="00846321"/>
    <w:p w14:paraId="343C14F2" w14:textId="77777777" w:rsidR="00846321" w:rsidRDefault="00846321" w:rsidP="00846321"/>
    <w:p w14:paraId="7FFC4820" w14:textId="77777777" w:rsidR="00846321" w:rsidRDefault="00846321" w:rsidP="00846321"/>
    <w:p w14:paraId="0C67E705" w14:textId="77777777" w:rsidR="00846321" w:rsidRDefault="00846321" w:rsidP="00846321">
      <w:pPr>
        <w:rPr>
          <w:b/>
          <w:bCs/>
          <w:szCs w:val="24"/>
        </w:rPr>
        <w:sectPr w:rsidR="00846321" w:rsidSect="0029440D">
          <w:pgSz w:w="11910" w:h="16840"/>
          <w:pgMar w:top="1600" w:right="1100" w:bottom="1140" w:left="920" w:header="567" w:footer="952" w:gutter="0"/>
          <w:cols w:space="720"/>
          <w:docGrid w:linePitch="299"/>
        </w:sectPr>
      </w:pPr>
    </w:p>
    <w:p w14:paraId="6271AF44" w14:textId="77777777" w:rsidR="00846321" w:rsidRDefault="00846321" w:rsidP="00846321">
      <w:pPr>
        <w:rPr>
          <w:b/>
          <w:bCs/>
          <w:szCs w:val="24"/>
        </w:rPr>
      </w:pPr>
      <w:r>
        <w:rPr>
          <w:b/>
          <w:bCs/>
          <w:szCs w:val="24"/>
        </w:rPr>
        <w:t>Annex A – NHS Lancashire and South Cumbria ICB 2024/25 Capital Plan</w:t>
      </w:r>
    </w:p>
    <w:p w14:paraId="3E5DBD9D" w14:textId="77777777" w:rsidR="00846321" w:rsidRDefault="00846321" w:rsidP="00846321">
      <w:pPr>
        <w:rPr>
          <w:color w:val="FF0000"/>
          <w:szCs w:val="24"/>
        </w:rPr>
      </w:pPr>
    </w:p>
    <w:tbl>
      <w:tblPr>
        <w:tblW w:w="152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822"/>
        <w:gridCol w:w="1288"/>
        <w:gridCol w:w="1450"/>
        <w:gridCol w:w="1319"/>
        <w:gridCol w:w="1450"/>
        <w:gridCol w:w="1514"/>
        <w:gridCol w:w="1387"/>
        <w:gridCol w:w="1582"/>
        <w:gridCol w:w="1275"/>
      </w:tblGrid>
      <w:tr w:rsidR="00846321" w:rsidRPr="005B0ECB" w14:paraId="7BAF1769" w14:textId="77777777" w:rsidTr="00846321">
        <w:trPr>
          <w:trHeight w:val="1276"/>
        </w:trPr>
        <w:tc>
          <w:tcPr>
            <w:tcW w:w="1135" w:type="dxa"/>
            <w:shd w:val="clear" w:color="000000" w:fill="0070C0"/>
            <w:noWrap/>
            <w:vAlign w:val="center"/>
            <w:hideMark/>
          </w:tcPr>
          <w:p w14:paraId="2D3FF7D1" w14:textId="77777777" w:rsidR="00846321" w:rsidRPr="005B0ECB" w:rsidRDefault="00846321" w:rsidP="007A3339">
            <w:pPr>
              <w:rPr>
                <w:rFonts w:ascii="Calibri" w:eastAsia="Times New Roman" w:hAnsi="Calibri" w:cs="Calibri"/>
                <w:color w:val="FFFFFF"/>
                <w:lang w:eastAsia="en-GB"/>
              </w:rPr>
            </w:pPr>
            <w:r w:rsidRPr="005B0ECB">
              <w:rPr>
                <w:rFonts w:ascii="Calibri" w:eastAsia="Times New Roman" w:hAnsi="Calibri" w:cs="Calibri"/>
                <w:color w:val="FFFFFF"/>
                <w:lang w:eastAsia="en-GB"/>
              </w:rPr>
              <w:t> </w:t>
            </w:r>
          </w:p>
        </w:tc>
        <w:tc>
          <w:tcPr>
            <w:tcW w:w="2822" w:type="dxa"/>
            <w:shd w:val="clear" w:color="000000" w:fill="0070C0"/>
            <w:noWrap/>
            <w:vAlign w:val="center"/>
            <w:hideMark/>
          </w:tcPr>
          <w:p w14:paraId="0A12E738" w14:textId="77777777" w:rsidR="00846321" w:rsidRPr="005B0ECB" w:rsidRDefault="00846321" w:rsidP="007A3339">
            <w:pPr>
              <w:rPr>
                <w:rFonts w:ascii="Calibri" w:eastAsia="Times New Roman" w:hAnsi="Calibri" w:cs="Calibri"/>
                <w:color w:val="FFFFFF"/>
                <w:lang w:eastAsia="en-GB"/>
              </w:rPr>
            </w:pPr>
            <w:r w:rsidRPr="005B0ECB">
              <w:rPr>
                <w:rFonts w:ascii="Calibri" w:eastAsia="Times New Roman" w:hAnsi="Calibri" w:cs="Calibri"/>
                <w:color w:val="FFFFFF"/>
                <w:lang w:eastAsia="en-GB"/>
              </w:rPr>
              <w:t>CDEL</w:t>
            </w:r>
          </w:p>
        </w:tc>
        <w:tc>
          <w:tcPr>
            <w:tcW w:w="1288" w:type="dxa"/>
            <w:shd w:val="clear" w:color="000000" w:fill="0070C0"/>
          </w:tcPr>
          <w:p w14:paraId="123CFE1A" w14:textId="77777777" w:rsidR="00846321" w:rsidRDefault="00846321" w:rsidP="007A3339">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Lancashire and South Cumbria ICB</w:t>
            </w:r>
            <w:r>
              <w:rPr>
                <w:rFonts w:ascii="Calibri" w:eastAsia="Times New Roman" w:hAnsi="Calibri" w:cs="Calibri"/>
                <w:b/>
                <w:bCs/>
                <w:color w:val="FFFFFF"/>
                <w:lang w:eastAsia="en-GB"/>
              </w:rPr>
              <w:br/>
              <w:t>£000</w:t>
            </w:r>
          </w:p>
        </w:tc>
        <w:tc>
          <w:tcPr>
            <w:tcW w:w="1450" w:type="dxa"/>
            <w:shd w:val="clear" w:color="000000" w:fill="0070C0"/>
          </w:tcPr>
          <w:p w14:paraId="48ECEC1C" w14:textId="77777777" w:rsidR="00846321" w:rsidRPr="005B0ECB" w:rsidRDefault="00846321" w:rsidP="007A3339">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Blackpool Teaching Hospitals NHS Foundation Trust</w:t>
            </w:r>
            <w:r>
              <w:rPr>
                <w:rFonts w:ascii="Calibri" w:eastAsia="Times New Roman" w:hAnsi="Calibri" w:cs="Calibri"/>
                <w:b/>
                <w:bCs/>
                <w:color w:val="FFFFFF"/>
                <w:lang w:eastAsia="en-GB"/>
              </w:rPr>
              <w:br/>
              <w:t>£000</w:t>
            </w:r>
          </w:p>
        </w:tc>
        <w:tc>
          <w:tcPr>
            <w:tcW w:w="1319" w:type="dxa"/>
            <w:shd w:val="clear" w:color="000000" w:fill="0070C0"/>
          </w:tcPr>
          <w:p w14:paraId="442ABEA5" w14:textId="77777777" w:rsidR="00846321" w:rsidRDefault="00846321" w:rsidP="007A3339">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East Lancashire Hospitals NHS Trust</w:t>
            </w:r>
          </w:p>
          <w:p w14:paraId="36E09CEE" w14:textId="77777777" w:rsidR="00846321" w:rsidRPr="005B0ECB" w:rsidRDefault="00846321" w:rsidP="007A3339">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£000</w:t>
            </w:r>
          </w:p>
        </w:tc>
        <w:tc>
          <w:tcPr>
            <w:tcW w:w="1450" w:type="dxa"/>
            <w:shd w:val="clear" w:color="000000" w:fill="0070C0"/>
          </w:tcPr>
          <w:p w14:paraId="61F119E5" w14:textId="77777777" w:rsidR="00846321" w:rsidRDefault="00846321" w:rsidP="007A3339">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Lancashire and South Cumbria NHS Foundation Trust</w:t>
            </w:r>
          </w:p>
          <w:p w14:paraId="797B524F" w14:textId="77777777" w:rsidR="00846321" w:rsidRPr="005B0ECB" w:rsidRDefault="00846321" w:rsidP="007A3339">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£000</w:t>
            </w:r>
          </w:p>
        </w:tc>
        <w:tc>
          <w:tcPr>
            <w:tcW w:w="1514" w:type="dxa"/>
            <w:shd w:val="clear" w:color="000000" w:fill="0070C0"/>
          </w:tcPr>
          <w:p w14:paraId="0B11A507" w14:textId="77777777" w:rsidR="00846321" w:rsidRDefault="00846321" w:rsidP="007A3339">
            <w:pPr>
              <w:jc w:val="center"/>
              <w:rPr>
                <w:rFonts w:ascii="Calibri" w:eastAsia="Times New Roman" w:hAnsi="Calibri" w:cs="Calibri"/>
                <w:b/>
                <w:bCs/>
                <w:color w:val="FFFFFF"/>
                <w:lang w:eastAsia="en-GB"/>
              </w:rPr>
            </w:pPr>
            <w:r w:rsidRPr="00D8698E">
              <w:rPr>
                <w:rFonts w:ascii="Calibri" w:eastAsia="Times New Roman" w:hAnsi="Calibri" w:cs="Calibri"/>
                <w:b/>
                <w:bCs/>
                <w:color w:val="FFFFFF"/>
                <w:lang w:eastAsia="en-GB"/>
              </w:rPr>
              <w:t xml:space="preserve">Lancashire </w:t>
            </w:r>
            <w:r>
              <w:rPr>
                <w:rFonts w:ascii="Calibri" w:eastAsia="Times New Roman" w:hAnsi="Calibri" w:cs="Calibri"/>
                <w:b/>
                <w:bCs/>
                <w:color w:val="FFFFFF"/>
                <w:lang w:eastAsia="en-GB"/>
              </w:rPr>
              <w:t>Teaching Hospitals</w:t>
            </w:r>
            <w:r w:rsidRPr="00D8698E">
              <w:rPr>
                <w:rFonts w:ascii="Calibri" w:eastAsia="Times New Roman" w:hAnsi="Calibri" w:cs="Calibri"/>
                <w:b/>
                <w:bCs/>
                <w:color w:val="FFFFFF"/>
                <w:lang w:eastAsia="en-GB"/>
              </w:rPr>
              <w:t xml:space="preserve"> NHS Foundation Trust</w:t>
            </w:r>
          </w:p>
          <w:p w14:paraId="3EF4A8A1" w14:textId="77777777" w:rsidR="00846321" w:rsidRPr="005B0ECB" w:rsidRDefault="00846321" w:rsidP="007A3339">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£000</w:t>
            </w:r>
          </w:p>
        </w:tc>
        <w:tc>
          <w:tcPr>
            <w:tcW w:w="1387" w:type="dxa"/>
            <w:shd w:val="clear" w:color="000000" w:fill="0070C0"/>
          </w:tcPr>
          <w:p w14:paraId="4AF5ECF9" w14:textId="77777777" w:rsidR="00846321" w:rsidRDefault="00846321" w:rsidP="007A3339">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Northwest Ambulance Service</w:t>
            </w:r>
            <w:r w:rsidRPr="00D8698E">
              <w:rPr>
                <w:rFonts w:ascii="Calibri" w:eastAsia="Times New Roman" w:hAnsi="Calibri" w:cs="Calibri"/>
                <w:b/>
                <w:bCs/>
                <w:color w:val="FFFFFF"/>
                <w:lang w:eastAsia="en-GB"/>
              </w:rPr>
              <w:t xml:space="preserve"> NHS</w:t>
            </w:r>
            <w:r>
              <w:rPr>
                <w:rFonts w:ascii="Calibri" w:eastAsia="Times New Roman" w:hAnsi="Calibri" w:cs="Calibri"/>
                <w:b/>
                <w:bCs/>
                <w:color w:val="FFFFFF"/>
                <w:lang w:eastAsia="en-GB"/>
              </w:rPr>
              <w:t xml:space="preserve"> </w:t>
            </w:r>
            <w:r w:rsidRPr="00D8698E">
              <w:rPr>
                <w:rFonts w:ascii="Calibri" w:eastAsia="Times New Roman" w:hAnsi="Calibri" w:cs="Calibri"/>
                <w:b/>
                <w:bCs/>
                <w:color w:val="FFFFFF"/>
                <w:lang w:eastAsia="en-GB"/>
              </w:rPr>
              <w:t>Trust</w:t>
            </w:r>
          </w:p>
          <w:p w14:paraId="5790E70B" w14:textId="77777777" w:rsidR="00846321" w:rsidRPr="005B0ECB" w:rsidRDefault="00846321" w:rsidP="007A3339">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£000</w:t>
            </w:r>
          </w:p>
        </w:tc>
        <w:tc>
          <w:tcPr>
            <w:tcW w:w="1582" w:type="dxa"/>
            <w:shd w:val="clear" w:color="000000" w:fill="0070C0"/>
          </w:tcPr>
          <w:p w14:paraId="6CFC81FC" w14:textId="77777777" w:rsidR="00846321" w:rsidRDefault="00846321" w:rsidP="007A3339">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University Hospitals of Morecambe Bay NHS Foundation Trust</w:t>
            </w:r>
          </w:p>
          <w:p w14:paraId="2E139D74" w14:textId="77777777" w:rsidR="00846321" w:rsidRPr="005B0ECB" w:rsidRDefault="00846321" w:rsidP="007A3339">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£000</w:t>
            </w:r>
          </w:p>
        </w:tc>
        <w:tc>
          <w:tcPr>
            <w:tcW w:w="1275" w:type="dxa"/>
            <w:shd w:val="clear" w:color="000000" w:fill="0070C0"/>
            <w:vAlign w:val="center"/>
            <w:hideMark/>
          </w:tcPr>
          <w:p w14:paraId="418C3D30" w14:textId="77777777" w:rsidR="00846321" w:rsidRDefault="00846321" w:rsidP="007A3339">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Total</w:t>
            </w:r>
          </w:p>
          <w:p w14:paraId="3C14304E" w14:textId="77777777" w:rsidR="00846321" w:rsidRDefault="00846321" w:rsidP="007A3339">
            <w:pPr>
              <w:jc w:val="center"/>
              <w:rPr>
                <w:rFonts w:ascii="Calibri" w:eastAsia="Times New Roman" w:hAnsi="Calibri" w:cs="Calibri"/>
                <w:b/>
                <w:bCs/>
                <w:color w:val="FFFFFF"/>
                <w:lang w:eastAsia="en-GB"/>
              </w:rPr>
            </w:pPr>
            <w:r w:rsidRPr="005B0ECB">
              <w:rPr>
                <w:rFonts w:ascii="Calibri" w:eastAsia="Times New Roman" w:hAnsi="Calibri" w:cs="Calibri"/>
                <w:b/>
                <w:bCs/>
                <w:color w:val="FFFFFF"/>
                <w:lang w:eastAsia="en-GB"/>
              </w:rPr>
              <w:t>Full Year Plan</w:t>
            </w:r>
          </w:p>
          <w:p w14:paraId="6D8E0051" w14:textId="77777777" w:rsidR="00846321" w:rsidRPr="005B0ECB" w:rsidRDefault="00846321" w:rsidP="007A3339">
            <w:pPr>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£000</w:t>
            </w:r>
          </w:p>
        </w:tc>
      </w:tr>
      <w:tr w:rsidR="00846321" w:rsidRPr="00F77EF5" w14:paraId="6290F9C0" w14:textId="77777777" w:rsidTr="00846321">
        <w:trPr>
          <w:trHeight w:val="449"/>
        </w:trPr>
        <w:tc>
          <w:tcPr>
            <w:tcW w:w="1135" w:type="dxa"/>
            <w:shd w:val="clear" w:color="auto" w:fill="auto"/>
            <w:noWrap/>
            <w:vAlign w:val="center"/>
            <w:hideMark/>
          </w:tcPr>
          <w:p w14:paraId="07221E3E" w14:textId="77777777" w:rsidR="00846321" w:rsidRPr="005B0ECB" w:rsidRDefault="00846321" w:rsidP="007A3339">
            <w:pPr>
              <w:ind w:left="-33"/>
              <w:rPr>
                <w:rFonts w:ascii="Calibri" w:eastAsia="Times New Roman" w:hAnsi="Calibri" w:cs="Calibri"/>
                <w:color w:val="000000"/>
                <w:lang w:eastAsia="en-GB"/>
              </w:rPr>
            </w:pPr>
            <w:r w:rsidRPr="005B0ECB">
              <w:rPr>
                <w:rFonts w:ascii="Calibri" w:eastAsia="Times New Roman" w:hAnsi="Calibri" w:cs="Calibri"/>
                <w:color w:val="000000"/>
                <w:lang w:eastAsia="en-GB"/>
              </w:rPr>
              <w:t>Provider</w:t>
            </w:r>
          </w:p>
        </w:tc>
        <w:tc>
          <w:tcPr>
            <w:tcW w:w="2822" w:type="dxa"/>
            <w:shd w:val="clear" w:color="auto" w:fill="auto"/>
            <w:noWrap/>
            <w:vAlign w:val="center"/>
            <w:hideMark/>
          </w:tcPr>
          <w:p w14:paraId="42EEF72E" w14:textId="77777777" w:rsidR="00846321" w:rsidRPr="005B0ECB" w:rsidRDefault="00846321" w:rsidP="007A3339">
            <w:pPr>
              <w:rPr>
                <w:rFonts w:ascii="Calibri" w:eastAsia="Times New Roman" w:hAnsi="Calibri" w:cs="Calibri"/>
                <w:color w:val="000000"/>
                <w:lang w:eastAsia="en-GB"/>
              </w:rPr>
            </w:pPr>
            <w:r w:rsidRPr="005B0ECB">
              <w:rPr>
                <w:rFonts w:ascii="Calibri" w:eastAsia="Times New Roman" w:hAnsi="Calibri" w:cs="Calibri"/>
                <w:color w:val="000000"/>
                <w:lang w:eastAsia="en-GB"/>
              </w:rPr>
              <w:t xml:space="preserve">Operational Capital </w:t>
            </w:r>
          </w:p>
        </w:tc>
        <w:tc>
          <w:tcPr>
            <w:tcW w:w="1288" w:type="dxa"/>
            <w:shd w:val="clear" w:color="auto" w:fill="EEECE1" w:themeFill="background2"/>
          </w:tcPr>
          <w:p w14:paraId="648D8490" w14:textId="77777777" w:rsidR="00846321" w:rsidRPr="00F77EF5" w:rsidRDefault="00846321" w:rsidP="007A3339">
            <w:pPr>
              <w:jc w:val="right"/>
              <w:rPr>
                <w:rFonts w:ascii="Calibri" w:eastAsia="Times New Roman" w:hAnsi="Calibri" w:cs="Calibri"/>
                <w:color w:val="BFBFBF" w:themeColor="background1" w:themeShade="BF"/>
                <w:lang w:eastAsia="en-GB"/>
              </w:rPr>
            </w:pPr>
          </w:p>
        </w:tc>
        <w:tc>
          <w:tcPr>
            <w:tcW w:w="1450" w:type="dxa"/>
          </w:tcPr>
          <w:p w14:paraId="242374E3" w14:textId="77777777" w:rsidR="00846321" w:rsidRPr="005B0ECB" w:rsidRDefault="00846321" w:rsidP="007A3339">
            <w:pPr>
              <w:spacing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14,939</w:t>
            </w:r>
          </w:p>
        </w:tc>
        <w:tc>
          <w:tcPr>
            <w:tcW w:w="1319" w:type="dxa"/>
          </w:tcPr>
          <w:p w14:paraId="7F47E381" w14:textId="77777777" w:rsidR="00846321" w:rsidRPr="005B0ECB" w:rsidRDefault="00846321" w:rsidP="007A3339">
            <w:pPr>
              <w:spacing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7,443</w:t>
            </w:r>
          </w:p>
        </w:tc>
        <w:tc>
          <w:tcPr>
            <w:tcW w:w="1450" w:type="dxa"/>
          </w:tcPr>
          <w:p w14:paraId="03EFD12A" w14:textId="77777777" w:rsidR="00846321" w:rsidRPr="005B0ECB" w:rsidRDefault="00846321" w:rsidP="007A3339">
            <w:pPr>
              <w:spacing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10,584</w:t>
            </w:r>
          </w:p>
        </w:tc>
        <w:tc>
          <w:tcPr>
            <w:tcW w:w="1514" w:type="dxa"/>
          </w:tcPr>
          <w:p w14:paraId="2237F121" w14:textId="77777777" w:rsidR="00846321" w:rsidRPr="005B0ECB" w:rsidRDefault="00846321" w:rsidP="007A3339">
            <w:pPr>
              <w:spacing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17,908</w:t>
            </w:r>
          </w:p>
        </w:tc>
        <w:tc>
          <w:tcPr>
            <w:tcW w:w="1387" w:type="dxa"/>
          </w:tcPr>
          <w:p w14:paraId="572A53A8" w14:textId="77777777" w:rsidR="00846321" w:rsidRPr="005B0ECB" w:rsidRDefault="00846321" w:rsidP="007A3339">
            <w:pPr>
              <w:spacing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19,707</w:t>
            </w:r>
          </w:p>
        </w:tc>
        <w:tc>
          <w:tcPr>
            <w:tcW w:w="1582" w:type="dxa"/>
          </w:tcPr>
          <w:p w14:paraId="0DD8379D" w14:textId="77777777" w:rsidR="00846321" w:rsidRPr="005B0ECB" w:rsidRDefault="00846321" w:rsidP="007A3339">
            <w:pPr>
              <w:spacing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15,144</w:t>
            </w:r>
          </w:p>
        </w:tc>
        <w:tc>
          <w:tcPr>
            <w:tcW w:w="1275" w:type="dxa"/>
            <w:shd w:val="clear" w:color="auto" w:fill="auto"/>
            <w:noWrap/>
            <w:vAlign w:val="bottom"/>
            <w:hideMark/>
          </w:tcPr>
          <w:p w14:paraId="3ADA44DF" w14:textId="77777777" w:rsidR="00846321" w:rsidRPr="005B0ECB" w:rsidRDefault="00846321" w:rsidP="007A3339">
            <w:pPr>
              <w:spacing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85,725</w:t>
            </w:r>
          </w:p>
        </w:tc>
      </w:tr>
      <w:tr w:rsidR="00846321" w:rsidRPr="00F77EF5" w14:paraId="2DADC0FE" w14:textId="77777777" w:rsidTr="00846321">
        <w:trPr>
          <w:trHeight w:val="449"/>
        </w:trPr>
        <w:tc>
          <w:tcPr>
            <w:tcW w:w="1135" w:type="dxa"/>
            <w:shd w:val="clear" w:color="auto" w:fill="auto"/>
            <w:noWrap/>
            <w:vAlign w:val="center"/>
            <w:hideMark/>
          </w:tcPr>
          <w:p w14:paraId="6ECA1350" w14:textId="77777777" w:rsidR="00846321" w:rsidRPr="005B0ECB" w:rsidRDefault="00846321" w:rsidP="007A3339">
            <w:pPr>
              <w:rPr>
                <w:rFonts w:ascii="Calibri" w:eastAsia="Times New Roman" w:hAnsi="Calibri" w:cs="Calibri"/>
                <w:color w:val="000000"/>
                <w:lang w:eastAsia="en-GB"/>
              </w:rPr>
            </w:pPr>
            <w:r w:rsidRPr="005B0ECB">
              <w:rPr>
                <w:rFonts w:ascii="Calibri" w:eastAsia="Times New Roman" w:hAnsi="Calibri" w:cs="Calibri"/>
                <w:color w:val="000000"/>
                <w:lang w:eastAsia="en-GB"/>
              </w:rPr>
              <w:t>ICB</w:t>
            </w:r>
          </w:p>
        </w:tc>
        <w:tc>
          <w:tcPr>
            <w:tcW w:w="2822" w:type="dxa"/>
            <w:shd w:val="clear" w:color="auto" w:fill="auto"/>
            <w:noWrap/>
            <w:vAlign w:val="center"/>
            <w:hideMark/>
          </w:tcPr>
          <w:p w14:paraId="5953D8BA" w14:textId="77777777" w:rsidR="00846321" w:rsidRPr="005B0ECB" w:rsidRDefault="00846321" w:rsidP="007A3339">
            <w:pPr>
              <w:rPr>
                <w:rFonts w:ascii="Calibri" w:eastAsia="Times New Roman" w:hAnsi="Calibri" w:cs="Calibri"/>
                <w:color w:val="000000"/>
                <w:lang w:eastAsia="en-GB"/>
              </w:rPr>
            </w:pPr>
            <w:r w:rsidRPr="005B0ECB">
              <w:rPr>
                <w:rFonts w:ascii="Calibri" w:eastAsia="Times New Roman" w:hAnsi="Calibri" w:cs="Calibri"/>
                <w:color w:val="000000"/>
                <w:lang w:eastAsia="en-GB"/>
              </w:rPr>
              <w:t xml:space="preserve">Operational Capital </w:t>
            </w:r>
          </w:p>
        </w:tc>
        <w:tc>
          <w:tcPr>
            <w:tcW w:w="1288" w:type="dxa"/>
          </w:tcPr>
          <w:p w14:paraId="00AE2A5F"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9,976</w:t>
            </w:r>
          </w:p>
        </w:tc>
        <w:tc>
          <w:tcPr>
            <w:tcW w:w="1450" w:type="dxa"/>
            <w:shd w:val="clear" w:color="auto" w:fill="EEECE1" w:themeFill="background2"/>
          </w:tcPr>
          <w:p w14:paraId="349C26F9" w14:textId="77777777" w:rsidR="00846321" w:rsidRPr="005B0ECB" w:rsidRDefault="00846321" w:rsidP="007A3339">
            <w:pPr>
              <w:jc w:val="right"/>
              <w:rPr>
                <w:rFonts w:ascii="Calibri" w:eastAsia="Times New Roman" w:hAnsi="Calibri" w:cs="Calibri"/>
                <w:color w:val="000000"/>
                <w:lang w:eastAsia="en-GB"/>
              </w:rPr>
            </w:pPr>
          </w:p>
        </w:tc>
        <w:tc>
          <w:tcPr>
            <w:tcW w:w="1319" w:type="dxa"/>
            <w:shd w:val="clear" w:color="auto" w:fill="EEECE1" w:themeFill="background2"/>
          </w:tcPr>
          <w:p w14:paraId="658FFB98" w14:textId="77777777" w:rsidR="00846321" w:rsidRPr="005B0ECB" w:rsidRDefault="00846321" w:rsidP="007A3339">
            <w:pPr>
              <w:jc w:val="right"/>
              <w:rPr>
                <w:rFonts w:ascii="Calibri" w:eastAsia="Times New Roman" w:hAnsi="Calibri" w:cs="Calibri"/>
                <w:color w:val="000000"/>
                <w:lang w:eastAsia="en-GB"/>
              </w:rPr>
            </w:pPr>
          </w:p>
        </w:tc>
        <w:tc>
          <w:tcPr>
            <w:tcW w:w="1450" w:type="dxa"/>
            <w:shd w:val="clear" w:color="auto" w:fill="EEECE1" w:themeFill="background2"/>
          </w:tcPr>
          <w:p w14:paraId="5FB3D317" w14:textId="77777777" w:rsidR="00846321" w:rsidRPr="005B0ECB" w:rsidRDefault="00846321" w:rsidP="007A3339">
            <w:pPr>
              <w:jc w:val="right"/>
              <w:rPr>
                <w:rFonts w:ascii="Calibri" w:eastAsia="Times New Roman" w:hAnsi="Calibri" w:cs="Calibri"/>
                <w:color w:val="000000"/>
                <w:lang w:eastAsia="en-GB"/>
              </w:rPr>
            </w:pPr>
          </w:p>
        </w:tc>
        <w:tc>
          <w:tcPr>
            <w:tcW w:w="1514" w:type="dxa"/>
            <w:shd w:val="clear" w:color="auto" w:fill="EEECE1" w:themeFill="background2"/>
          </w:tcPr>
          <w:p w14:paraId="10B60BD9" w14:textId="77777777" w:rsidR="00846321" w:rsidRPr="005B0ECB" w:rsidRDefault="00846321" w:rsidP="007A3339">
            <w:pPr>
              <w:jc w:val="right"/>
              <w:rPr>
                <w:rFonts w:ascii="Calibri" w:eastAsia="Times New Roman" w:hAnsi="Calibri" w:cs="Calibri"/>
                <w:color w:val="000000"/>
                <w:lang w:eastAsia="en-GB"/>
              </w:rPr>
            </w:pPr>
          </w:p>
        </w:tc>
        <w:tc>
          <w:tcPr>
            <w:tcW w:w="1387" w:type="dxa"/>
            <w:shd w:val="clear" w:color="auto" w:fill="EEECE1" w:themeFill="background2"/>
          </w:tcPr>
          <w:p w14:paraId="32F14C4A" w14:textId="77777777" w:rsidR="00846321" w:rsidRPr="005B0ECB" w:rsidRDefault="00846321" w:rsidP="007A3339">
            <w:pPr>
              <w:jc w:val="right"/>
              <w:rPr>
                <w:rFonts w:ascii="Calibri" w:eastAsia="Times New Roman" w:hAnsi="Calibri" w:cs="Calibri"/>
                <w:color w:val="000000"/>
                <w:lang w:eastAsia="en-GB"/>
              </w:rPr>
            </w:pPr>
          </w:p>
        </w:tc>
        <w:tc>
          <w:tcPr>
            <w:tcW w:w="1582" w:type="dxa"/>
            <w:shd w:val="clear" w:color="auto" w:fill="EEECE1" w:themeFill="background2"/>
          </w:tcPr>
          <w:p w14:paraId="6E087F28" w14:textId="77777777" w:rsidR="00846321" w:rsidRPr="005B0ECB" w:rsidRDefault="00846321" w:rsidP="007A3339">
            <w:pPr>
              <w:jc w:val="right"/>
              <w:rPr>
                <w:rFonts w:ascii="Calibri" w:eastAsia="Times New Roman" w:hAnsi="Calibri" w:cs="Calibri"/>
                <w:color w:val="000000"/>
                <w:lang w:eastAsia="en-GB"/>
              </w:rPr>
            </w:pPr>
          </w:p>
        </w:tc>
        <w:tc>
          <w:tcPr>
            <w:tcW w:w="1275" w:type="dxa"/>
            <w:shd w:val="clear" w:color="auto" w:fill="auto"/>
            <w:noWrap/>
            <w:vAlign w:val="bottom"/>
            <w:hideMark/>
          </w:tcPr>
          <w:p w14:paraId="57031E49" w14:textId="77777777" w:rsidR="00846321" w:rsidRPr="005B0ECB" w:rsidRDefault="00846321" w:rsidP="007A3339">
            <w:pPr>
              <w:spacing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9,976</w:t>
            </w:r>
          </w:p>
        </w:tc>
      </w:tr>
      <w:tr w:rsidR="00C15048" w:rsidRPr="00F77EF5" w14:paraId="4BCAF1CE" w14:textId="77777777" w:rsidTr="00846321">
        <w:trPr>
          <w:trHeight w:val="449"/>
        </w:trPr>
        <w:tc>
          <w:tcPr>
            <w:tcW w:w="1135" w:type="dxa"/>
            <w:shd w:val="clear" w:color="000000" w:fill="D9D9D9"/>
            <w:noWrap/>
            <w:vAlign w:val="center"/>
          </w:tcPr>
          <w:p w14:paraId="5400A598" w14:textId="77777777" w:rsidR="00C15048" w:rsidRPr="005B0ECB" w:rsidRDefault="00C15048" w:rsidP="007A3339">
            <w:pPr>
              <w:rPr>
                <w:rFonts w:ascii="Calibri" w:eastAsia="Times New Roman" w:hAnsi="Calibri" w:cs="Calibri"/>
                <w:color w:val="000000"/>
                <w:lang w:eastAsia="en-GB"/>
              </w:rPr>
            </w:pPr>
          </w:p>
        </w:tc>
        <w:tc>
          <w:tcPr>
            <w:tcW w:w="2822" w:type="dxa"/>
            <w:shd w:val="clear" w:color="auto" w:fill="auto"/>
            <w:noWrap/>
            <w:vAlign w:val="center"/>
          </w:tcPr>
          <w:p w14:paraId="37DD92A8" w14:textId="6C96EF9A" w:rsidR="00C15048" w:rsidRPr="005B0ECB" w:rsidRDefault="00C15048" w:rsidP="007A3339">
            <w:pPr>
              <w:rPr>
                <w:rFonts w:ascii="Calibri" w:eastAsia="Times New Roman" w:hAnsi="Calibri" w:cs="Calibri"/>
                <w:color w:val="000000"/>
                <w:lang w:eastAsia="en-GB"/>
              </w:rPr>
            </w:pPr>
            <w:r>
              <w:rPr>
                <w:rFonts w:ascii="Calibri" w:eastAsia="Times New Roman" w:hAnsi="Calibri" w:cs="Calibri"/>
                <w:color w:val="000000"/>
                <w:lang w:eastAsia="en-GB"/>
              </w:rPr>
              <w:t>Unallocated Capital</w:t>
            </w:r>
          </w:p>
        </w:tc>
        <w:tc>
          <w:tcPr>
            <w:tcW w:w="1288" w:type="dxa"/>
          </w:tcPr>
          <w:p w14:paraId="4A501A16" w14:textId="7383AF7F" w:rsidR="00C15048" w:rsidRDefault="00C15048"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199</w:t>
            </w:r>
          </w:p>
        </w:tc>
        <w:tc>
          <w:tcPr>
            <w:tcW w:w="1450" w:type="dxa"/>
          </w:tcPr>
          <w:p w14:paraId="7E059CC6" w14:textId="77777777" w:rsidR="00C15048" w:rsidRDefault="00C15048" w:rsidP="007A3339">
            <w:pPr>
              <w:jc w:val="right"/>
              <w:rPr>
                <w:rFonts w:ascii="Calibri" w:eastAsia="Times New Roman" w:hAnsi="Calibri" w:cs="Calibri"/>
                <w:color w:val="000000"/>
                <w:lang w:eastAsia="en-GB"/>
              </w:rPr>
            </w:pPr>
          </w:p>
        </w:tc>
        <w:tc>
          <w:tcPr>
            <w:tcW w:w="1319" w:type="dxa"/>
          </w:tcPr>
          <w:p w14:paraId="385C4F84" w14:textId="77777777" w:rsidR="00C15048" w:rsidRDefault="00C15048" w:rsidP="007A3339">
            <w:pPr>
              <w:jc w:val="right"/>
              <w:rPr>
                <w:rFonts w:ascii="Calibri" w:eastAsia="Times New Roman" w:hAnsi="Calibri" w:cs="Calibri"/>
                <w:color w:val="000000"/>
                <w:lang w:eastAsia="en-GB"/>
              </w:rPr>
            </w:pPr>
          </w:p>
        </w:tc>
        <w:tc>
          <w:tcPr>
            <w:tcW w:w="1450" w:type="dxa"/>
          </w:tcPr>
          <w:p w14:paraId="486350E5" w14:textId="77777777" w:rsidR="00C15048" w:rsidRDefault="00C15048" w:rsidP="007A3339">
            <w:pPr>
              <w:jc w:val="right"/>
              <w:rPr>
                <w:rFonts w:ascii="Calibri" w:eastAsia="Times New Roman" w:hAnsi="Calibri" w:cs="Calibri"/>
                <w:color w:val="000000"/>
                <w:lang w:eastAsia="en-GB"/>
              </w:rPr>
            </w:pPr>
          </w:p>
        </w:tc>
        <w:tc>
          <w:tcPr>
            <w:tcW w:w="1514" w:type="dxa"/>
          </w:tcPr>
          <w:p w14:paraId="25234825" w14:textId="77777777" w:rsidR="00C15048" w:rsidRDefault="00C15048" w:rsidP="007A3339">
            <w:pPr>
              <w:jc w:val="right"/>
              <w:rPr>
                <w:rFonts w:ascii="Calibri" w:eastAsia="Times New Roman" w:hAnsi="Calibri" w:cs="Calibri"/>
                <w:color w:val="000000"/>
                <w:lang w:eastAsia="en-GB"/>
              </w:rPr>
            </w:pPr>
          </w:p>
        </w:tc>
        <w:tc>
          <w:tcPr>
            <w:tcW w:w="1387" w:type="dxa"/>
          </w:tcPr>
          <w:p w14:paraId="55937CF2" w14:textId="77777777" w:rsidR="00C15048" w:rsidRDefault="00C15048" w:rsidP="007A3339">
            <w:pPr>
              <w:jc w:val="right"/>
              <w:rPr>
                <w:rFonts w:ascii="Calibri" w:eastAsia="Times New Roman" w:hAnsi="Calibri" w:cs="Calibri"/>
                <w:color w:val="000000"/>
                <w:lang w:eastAsia="en-GB"/>
              </w:rPr>
            </w:pPr>
          </w:p>
        </w:tc>
        <w:tc>
          <w:tcPr>
            <w:tcW w:w="1582" w:type="dxa"/>
          </w:tcPr>
          <w:p w14:paraId="162D3106" w14:textId="77777777" w:rsidR="00C15048" w:rsidRDefault="00C15048" w:rsidP="007A3339">
            <w:pPr>
              <w:jc w:val="right"/>
              <w:rPr>
                <w:rFonts w:ascii="Calibri" w:eastAsia="Times New Roman" w:hAnsi="Calibri" w:cs="Calibri"/>
                <w:color w:val="000000"/>
                <w:lang w:eastAsia="en-GB"/>
              </w:rPr>
            </w:pPr>
          </w:p>
        </w:tc>
        <w:tc>
          <w:tcPr>
            <w:tcW w:w="1275" w:type="dxa"/>
            <w:shd w:val="clear" w:color="auto" w:fill="auto"/>
            <w:noWrap/>
            <w:vAlign w:val="bottom"/>
          </w:tcPr>
          <w:p w14:paraId="5EBE763D" w14:textId="459CDDAD" w:rsidR="00C15048" w:rsidRDefault="00C15048" w:rsidP="007A3339">
            <w:pPr>
              <w:spacing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199</w:t>
            </w:r>
          </w:p>
        </w:tc>
      </w:tr>
      <w:tr w:rsidR="00846321" w:rsidRPr="00F77EF5" w14:paraId="5143BBF5" w14:textId="77777777" w:rsidTr="00846321">
        <w:trPr>
          <w:trHeight w:val="449"/>
        </w:trPr>
        <w:tc>
          <w:tcPr>
            <w:tcW w:w="1135" w:type="dxa"/>
            <w:shd w:val="clear" w:color="000000" w:fill="D9D9D9"/>
            <w:noWrap/>
            <w:vAlign w:val="center"/>
            <w:hideMark/>
          </w:tcPr>
          <w:p w14:paraId="7DD1AE61" w14:textId="77777777" w:rsidR="00846321" w:rsidRPr="005B0ECB" w:rsidRDefault="00846321" w:rsidP="007A3339">
            <w:pPr>
              <w:rPr>
                <w:rFonts w:ascii="Calibri" w:eastAsia="Times New Roman" w:hAnsi="Calibri" w:cs="Calibri"/>
                <w:color w:val="000000"/>
                <w:lang w:eastAsia="en-GB"/>
              </w:rPr>
            </w:pPr>
            <w:r w:rsidRPr="005B0ECB">
              <w:rPr>
                <w:rFonts w:ascii="Calibri" w:eastAsia="Times New Roman" w:hAnsi="Calibri" w:cs="Calibri"/>
                <w:color w:val="000000"/>
                <w:lang w:eastAsia="en-GB"/>
              </w:rPr>
              <w:t> </w:t>
            </w:r>
          </w:p>
        </w:tc>
        <w:tc>
          <w:tcPr>
            <w:tcW w:w="2822" w:type="dxa"/>
            <w:shd w:val="clear" w:color="auto" w:fill="auto"/>
            <w:noWrap/>
            <w:vAlign w:val="center"/>
            <w:hideMark/>
          </w:tcPr>
          <w:p w14:paraId="701BC4D5" w14:textId="77777777" w:rsidR="00846321" w:rsidRPr="005B0ECB" w:rsidRDefault="00846321" w:rsidP="007A3339">
            <w:pPr>
              <w:rPr>
                <w:rFonts w:ascii="Calibri" w:eastAsia="Times New Roman" w:hAnsi="Calibri" w:cs="Calibri"/>
                <w:color w:val="000000"/>
                <w:lang w:eastAsia="en-GB"/>
              </w:rPr>
            </w:pPr>
            <w:r w:rsidRPr="005B0ECB">
              <w:rPr>
                <w:rFonts w:ascii="Calibri" w:eastAsia="Times New Roman" w:hAnsi="Calibri" w:cs="Calibri"/>
                <w:color w:val="000000"/>
                <w:lang w:eastAsia="en-GB"/>
              </w:rPr>
              <w:t>Total Op Cap</w:t>
            </w:r>
          </w:p>
        </w:tc>
        <w:tc>
          <w:tcPr>
            <w:tcW w:w="1288" w:type="dxa"/>
          </w:tcPr>
          <w:p w14:paraId="745B1A7C" w14:textId="488D329E" w:rsidR="00846321" w:rsidRPr="005B0ECB" w:rsidRDefault="00851443"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10,175</w:t>
            </w:r>
          </w:p>
        </w:tc>
        <w:tc>
          <w:tcPr>
            <w:tcW w:w="1450" w:type="dxa"/>
          </w:tcPr>
          <w:p w14:paraId="6613F1AB"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14,939</w:t>
            </w:r>
          </w:p>
        </w:tc>
        <w:tc>
          <w:tcPr>
            <w:tcW w:w="1319" w:type="dxa"/>
          </w:tcPr>
          <w:p w14:paraId="262B193F"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7,443</w:t>
            </w:r>
          </w:p>
        </w:tc>
        <w:tc>
          <w:tcPr>
            <w:tcW w:w="1450" w:type="dxa"/>
          </w:tcPr>
          <w:p w14:paraId="5E743D7B"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10,584</w:t>
            </w:r>
          </w:p>
        </w:tc>
        <w:tc>
          <w:tcPr>
            <w:tcW w:w="1514" w:type="dxa"/>
          </w:tcPr>
          <w:p w14:paraId="2C678F58"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17,908</w:t>
            </w:r>
          </w:p>
        </w:tc>
        <w:tc>
          <w:tcPr>
            <w:tcW w:w="1387" w:type="dxa"/>
          </w:tcPr>
          <w:p w14:paraId="1BF2FFE2"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19,707</w:t>
            </w:r>
          </w:p>
        </w:tc>
        <w:tc>
          <w:tcPr>
            <w:tcW w:w="1582" w:type="dxa"/>
          </w:tcPr>
          <w:p w14:paraId="544F3D91"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15,144</w:t>
            </w:r>
          </w:p>
        </w:tc>
        <w:tc>
          <w:tcPr>
            <w:tcW w:w="1275" w:type="dxa"/>
            <w:shd w:val="clear" w:color="auto" w:fill="auto"/>
            <w:noWrap/>
            <w:vAlign w:val="bottom"/>
            <w:hideMark/>
          </w:tcPr>
          <w:p w14:paraId="7EF9D3EA" w14:textId="3C8C25F5" w:rsidR="00846321" w:rsidRPr="005B0ECB" w:rsidRDefault="00846321" w:rsidP="007A3339">
            <w:pPr>
              <w:spacing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95,</w:t>
            </w:r>
            <w:r w:rsidR="00C15048">
              <w:rPr>
                <w:rFonts w:ascii="Calibri" w:eastAsia="Times New Roman" w:hAnsi="Calibri" w:cs="Calibri"/>
                <w:color w:val="000000"/>
                <w:lang w:eastAsia="en-GB"/>
              </w:rPr>
              <w:t>900</w:t>
            </w:r>
          </w:p>
        </w:tc>
      </w:tr>
      <w:tr w:rsidR="00846321" w:rsidRPr="00F77EF5" w14:paraId="6D72D006" w14:textId="77777777" w:rsidTr="00846321">
        <w:trPr>
          <w:trHeight w:val="449"/>
        </w:trPr>
        <w:tc>
          <w:tcPr>
            <w:tcW w:w="1135" w:type="dxa"/>
            <w:shd w:val="clear" w:color="auto" w:fill="auto"/>
            <w:noWrap/>
            <w:vAlign w:val="center"/>
            <w:hideMark/>
          </w:tcPr>
          <w:p w14:paraId="2E8E7AE6" w14:textId="77777777" w:rsidR="00846321" w:rsidRPr="005B0ECB" w:rsidRDefault="00846321" w:rsidP="007A3339">
            <w:pPr>
              <w:rPr>
                <w:rFonts w:ascii="Calibri" w:eastAsia="Times New Roman" w:hAnsi="Calibri" w:cs="Calibri"/>
                <w:color w:val="000000"/>
                <w:lang w:eastAsia="en-GB"/>
              </w:rPr>
            </w:pPr>
            <w:r w:rsidRPr="005B0ECB">
              <w:rPr>
                <w:rFonts w:ascii="Calibri" w:eastAsia="Times New Roman" w:hAnsi="Calibri" w:cs="Calibri"/>
                <w:color w:val="000000"/>
                <w:lang w:eastAsia="en-GB"/>
              </w:rPr>
              <w:t>Provider</w:t>
            </w:r>
          </w:p>
        </w:tc>
        <w:tc>
          <w:tcPr>
            <w:tcW w:w="2822" w:type="dxa"/>
            <w:shd w:val="clear" w:color="auto" w:fill="auto"/>
            <w:noWrap/>
            <w:vAlign w:val="center"/>
            <w:hideMark/>
          </w:tcPr>
          <w:p w14:paraId="2B0D9BAD" w14:textId="77777777" w:rsidR="00846321" w:rsidRPr="005B0ECB" w:rsidRDefault="00846321" w:rsidP="007A3339">
            <w:pPr>
              <w:rPr>
                <w:rFonts w:ascii="Calibri" w:eastAsia="Times New Roman" w:hAnsi="Calibri" w:cs="Calibri"/>
                <w:color w:val="000000"/>
                <w:lang w:eastAsia="en-GB"/>
              </w:rPr>
            </w:pPr>
            <w:r w:rsidRPr="005B0ECB">
              <w:rPr>
                <w:rFonts w:ascii="Calibri" w:eastAsia="Times New Roman" w:hAnsi="Calibri" w:cs="Calibri"/>
                <w:color w:val="000000"/>
                <w:lang w:eastAsia="en-GB"/>
              </w:rPr>
              <w:t>Impact of IFRS 16</w:t>
            </w:r>
          </w:p>
        </w:tc>
        <w:tc>
          <w:tcPr>
            <w:tcW w:w="1288" w:type="dxa"/>
            <w:shd w:val="clear" w:color="auto" w:fill="EEECE1" w:themeFill="background2"/>
          </w:tcPr>
          <w:p w14:paraId="441A18AF" w14:textId="77777777" w:rsidR="00846321" w:rsidRPr="005B0ECB" w:rsidRDefault="00846321" w:rsidP="007A3339">
            <w:pPr>
              <w:jc w:val="right"/>
              <w:rPr>
                <w:rFonts w:ascii="Calibri" w:eastAsia="Times New Roman" w:hAnsi="Calibri" w:cs="Calibri"/>
                <w:color w:val="000000"/>
                <w:lang w:eastAsia="en-GB"/>
              </w:rPr>
            </w:pPr>
          </w:p>
        </w:tc>
        <w:tc>
          <w:tcPr>
            <w:tcW w:w="1450" w:type="dxa"/>
          </w:tcPr>
          <w:p w14:paraId="3831CD70"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2,831</w:t>
            </w:r>
          </w:p>
        </w:tc>
        <w:tc>
          <w:tcPr>
            <w:tcW w:w="1319" w:type="dxa"/>
          </w:tcPr>
          <w:p w14:paraId="69A30FB0"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20,084</w:t>
            </w:r>
          </w:p>
        </w:tc>
        <w:tc>
          <w:tcPr>
            <w:tcW w:w="1450" w:type="dxa"/>
          </w:tcPr>
          <w:p w14:paraId="2F9DB026"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514" w:type="dxa"/>
          </w:tcPr>
          <w:p w14:paraId="4F7B7A25"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14,925</w:t>
            </w:r>
          </w:p>
        </w:tc>
        <w:tc>
          <w:tcPr>
            <w:tcW w:w="1387" w:type="dxa"/>
          </w:tcPr>
          <w:p w14:paraId="4F09BD33"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22,913</w:t>
            </w:r>
          </w:p>
        </w:tc>
        <w:tc>
          <w:tcPr>
            <w:tcW w:w="1582" w:type="dxa"/>
          </w:tcPr>
          <w:p w14:paraId="43AC2C9D"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200</w:t>
            </w:r>
          </w:p>
        </w:tc>
        <w:tc>
          <w:tcPr>
            <w:tcW w:w="1275" w:type="dxa"/>
            <w:shd w:val="clear" w:color="auto" w:fill="auto"/>
            <w:noWrap/>
            <w:vAlign w:val="bottom"/>
            <w:hideMark/>
          </w:tcPr>
          <w:p w14:paraId="3F3849C5" w14:textId="77777777" w:rsidR="00846321" w:rsidRPr="005B0ECB" w:rsidRDefault="00846321" w:rsidP="007A3339">
            <w:pPr>
              <w:spacing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60,953</w:t>
            </w:r>
          </w:p>
        </w:tc>
      </w:tr>
      <w:tr w:rsidR="00846321" w:rsidRPr="00F77EF5" w14:paraId="74A6AAEC" w14:textId="77777777" w:rsidTr="00846321">
        <w:trPr>
          <w:trHeight w:val="449"/>
        </w:trPr>
        <w:tc>
          <w:tcPr>
            <w:tcW w:w="1135" w:type="dxa"/>
            <w:shd w:val="clear" w:color="auto" w:fill="auto"/>
            <w:noWrap/>
            <w:vAlign w:val="center"/>
            <w:hideMark/>
          </w:tcPr>
          <w:p w14:paraId="68A35EA1" w14:textId="77777777" w:rsidR="00846321" w:rsidRPr="005B0ECB" w:rsidRDefault="00846321" w:rsidP="007A3339">
            <w:pPr>
              <w:rPr>
                <w:rFonts w:ascii="Calibri" w:eastAsia="Times New Roman" w:hAnsi="Calibri" w:cs="Calibri"/>
                <w:color w:val="000000"/>
                <w:lang w:eastAsia="en-GB"/>
              </w:rPr>
            </w:pPr>
            <w:r w:rsidRPr="005B0ECB">
              <w:rPr>
                <w:rFonts w:ascii="Calibri" w:eastAsia="Times New Roman" w:hAnsi="Calibri" w:cs="Calibri"/>
                <w:color w:val="000000"/>
                <w:lang w:eastAsia="en-GB"/>
              </w:rPr>
              <w:t>ICB</w:t>
            </w:r>
          </w:p>
        </w:tc>
        <w:tc>
          <w:tcPr>
            <w:tcW w:w="2822" w:type="dxa"/>
            <w:shd w:val="clear" w:color="auto" w:fill="auto"/>
            <w:noWrap/>
            <w:vAlign w:val="center"/>
            <w:hideMark/>
          </w:tcPr>
          <w:p w14:paraId="5E72286B" w14:textId="77777777" w:rsidR="00846321" w:rsidRPr="005B0ECB" w:rsidRDefault="00846321" w:rsidP="007A3339">
            <w:pPr>
              <w:rPr>
                <w:rFonts w:ascii="Calibri" w:eastAsia="Times New Roman" w:hAnsi="Calibri" w:cs="Calibri"/>
                <w:color w:val="000000"/>
                <w:lang w:eastAsia="en-GB"/>
              </w:rPr>
            </w:pPr>
            <w:r w:rsidRPr="005B0ECB">
              <w:rPr>
                <w:rFonts w:ascii="Calibri" w:eastAsia="Times New Roman" w:hAnsi="Calibri" w:cs="Calibri"/>
                <w:color w:val="000000"/>
                <w:lang w:eastAsia="en-GB"/>
              </w:rPr>
              <w:t>Impact of IFRS 16</w:t>
            </w:r>
          </w:p>
        </w:tc>
        <w:tc>
          <w:tcPr>
            <w:tcW w:w="1288" w:type="dxa"/>
          </w:tcPr>
          <w:p w14:paraId="5C857A38"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450" w:type="dxa"/>
            <w:shd w:val="clear" w:color="auto" w:fill="EEECE1" w:themeFill="background2"/>
          </w:tcPr>
          <w:p w14:paraId="07AE9F06" w14:textId="77777777" w:rsidR="00846321" w:rsidRPr="005B0ECB" w:rsidRDefault="00846321" w:rsidP="007A3339">
            <w:pPr>
              <w:jc w:val="right"/>
              <w:rPr>
                <w:rFonts w:ascii="Calibri" w:eastAsia="Times New Roman" w:hAnsi="Calibri" w:cs="Calibri"/>
                <w:color w:val="000000"/>
                <w:lang w:eastAsia="en-GB"/>
              </w:rPr>
            </w:pPr>
          </w:p>
        </w:tc>
        <w:tc>
          <w:tcPr>
            <w:tcW w:w="1319" w:type="dxa"/>
            <w:shd w:val="clear" w:color="auto" w:fill="EEECE1" w:themeFill="background2"/>
          </w:tcPr>
          <w:p w14:paraId="51175324" w14:textId="77777777" w:rsidR="00846321" w:rsidRPr="005B0ECB" w:rsidRDefault="00846321" w:rsidP="007A3339">
            <w:pPr>
              <w:jc w:val="right"/>
              <w:rPr>
                <w:rFonts w:ascii="Calibri" w:eastAsia="Times New Roman" w:hAnsi="Calibri" w:cs="Calibri"/>
                <w:color w:val="000000"/>
                <w:lang w:eastAsia="en-GB"/>
              </w:rPr>
            </w:pPr>
          </w:p>
        </w:tc>
        <w:tc>
          <w:tcPr>
            <w:tcW w:w="1450" w:type="dxa"/>
            <w:shd w:val="clear" w:color="auto" w:fill="EEECE1" w:themeFill="background2"/>
          </w:tcPr>
          <w:p w14:paraId="06DD5B22" w14:textId="77777777" w:rsidR="00846321" w:rsidRPr="005B0ECB" w:rsidRDefault="00846321" w:rsidP="007A3339">
            <w:pPr>
              <w:jc w:val="right"/>
              <w:rPr>
                <w:rFonts w:ascii="Calibri" w:eastAsia="Times New Roman" w:hAnsi="Calibri" w:cs="Calibri"/>
                <w:color w:val="000000"/>
                <w:lang w:eastAsia="en-GB"/>
              </w:rPr>
            </w:pPr>
          </w:p>
        </w:tc>
        <w:tc>
          <w:tcPr>
            <w:tcW w:w="1514" w:type="dxa"/>
            <w:shd w:val="clear" w:color="auto" w:fill="EEECE1" w:themeFill="background2"/>
          </w:tcPr>
          <w:p w14:paraId="74FDCCAA" w14:textId="77777777" w:rsidR="00846321" w:rsidRPr="005B0ECB" w:rsidRDefault="00846321" w:rsidP="007A3339">
            <w:pPr>
              <w:jc w:val="right"/>
              <w:rPr>
                <w:rFonts w:ascii="Calibri" w:eastAsia="Times New Roman" w:hAnsi="Calibri" w:cs="Calibri"/>
                <w:color w:val="000000"/>
                <w:lang w:eastAsia="en-GB"/>
              </w:rPr>
            </w:pPr>
          </w:p>
        </w:tc>
        <w:tc>
          <w:tcPr>
            <w:tcW w:w="1387" w:type="dxa"/>
            <w:shd w:val="clear" w:color="auto" w:fill="EEECE1" w:themeFill="background2"/>
          </w:tcPr>
          <w:p w14:paraId="47A18121" w14:textId="77777777" w:rsidR="00846321" w:rsidRPr="005B0ECB" w:rsidRDefault="00846321" w:rsidP="007A3339">
            <w:pPr>
              <w:jc w:val="right"/>
              <w:rPr>
                <w:rFonts w:ascii="Calibri" w:eastAsia="Times New Roman" w:hAnsi="Calibri" w:cs="Calibri"/>
                <w:color w:val="000000"/>
                <w:lang w:eastAsia="en-GB"/>
              </w:rPr>
            </w:pPr>
          </w:p>
        </w:tc>
        <w:tc>
          <w:tcPr>
            <w:tcW w:w="1582" w:type="dxa"/>
            <w:shd w:val="clear" w:color="auto" w:fill="EEECE1" w:themeFill="background2"/>
          </w:tcPr>
          <w:p w14:paraId="19E3B412" w14:textId="77777777" w:rsidR="00846321" w:rsidRPr="005B0ECB" w:rsidRDefault="00846321" w:rsidP="007A3339">
            <w:pPr>
              <w:jc w:val="right"/>
              <w:rPr>
                <w:rFonts w:ascii="Calibri" w:eastAsia="Times New Roman" w:hAnsi="Calibri" w:cs="Calibri"/>
                <w:color w:val="000000"/>
                <w:lang w:eastAsia="en-GB"/>
              </w:rPr>
            </w:pPr>
          </w:p>
        </w:tc>
        <w:tc>
          <w:tcPr>
            <w:tcW w:w="1275" w:type="dxa"/>
            <w:shd w:val="clear" w:color="auto" w:fill="auto"/>
            <w:noWrap/>
            <w:vAlign w:val="bottom"/>
            <w:hideMark/>
          </w:tcPr>
          <w:p w14:paraId="4F7FCB4A" w14:textId="77777777" w:rsidR="00846321" w:rsidRPr="005B0ECB" w:rsidRDefault="00846321" w:rsidP="007A3339">
            <w:pPr>
              <w:spacing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p>
        </w:tc>
      </w:tr>
      <w:tr w:rsidR="00846321" w:rsidRPr="00F77EF5" w14:paraId="4B2F4924" w14:textId="77777777" w:rsidTr="00846321">
        <w:trPr>
          <w:trHeight w:val="449"/>
        </w:trPr>
        <w:tc>
          <w:tcPr>
            <w:tcW w:w="1135" w:type="dxa"/>
            <w:shd w:val="clear" w:color="auto" w:fill="auto"/>
            <w:noWrap/>
            <w:vAlign w:val="center"/>
            <w:hideMark/>
          </w:tcPr>
          <w:p w14:paraId="38F82628" w14:textId="77777777" w:rsidR="00846321" w:rsidRPr="005B0ECB" w:rsidRDefault="00846321" w:rsidP="007A3339">
            <w:pPr>
              <w:rPr>
                <w:rFonts w:ascii="Calibri" w:eastAsia="Times New Roman" w:hAnsi="Calibri" w:cs="Calibri"/>
                <w:color w:val="000000"/>
                <w:lang w:eastAsia="en-GB"/>
              </w:rPr>
            </w:pPr>
            <w:r w:rsidRPr="005B0ECB">
              <w:rPr>
                <w:rFonts w:ascii="Calibri" w:eastAsia="Times New Roman" w:hAnsi="Calibri" w:cs="Calibri"/>
                <w:color w:val="000000"/>
                <w:lang w:eastAsia="en-GB"/>
              </w:rPr>
              <w:t>Provider</w:t>
            </w:r>
          </w:p>
        </w:tc>
        <w:tc>
          <w:tcPr>
            <w:tcW w:w="2822" w:type="dxa"/>
            <w:shd w:val="clear" w:color="auto" w:fill="auto"/>
            <w:noWrap/>
            <w:vAlign w:val="center"/>
            <w:hideMark/>
          </w:tcPr>
          <w:p w14:paraId="22DCA147" w14:textId="5D523602" w:rsidR="00846321" w:rsidRPr="005B0ECB" w:rsidRDefault="00846321" w:rsidP="007A3339">
            <w:pPr>
              <w:rPr>
                <w:rFonts w:ascii="Calibri" w:eastAsia="Times New Roman" w:hAnsi="Calibri" w:cs="Calibri"/>
                <w:color w:val="000000"/>
                <w:lang w:eastAsia="en-GB"/>
              </w:rPr>
            </w:pPr>
            <w:r>
              <w:rPr>
                <w:rFonts w:ascii="Calibri" w:eastAsia="Times New Roman" w:hAnsi="Calibri" w:cs="Calibri"/>
                <w:color w:val="000000"/>
                <w:lang w:eastAsia="en-GB"/>
              </w:rPr>
              <w:t xml:space="preserve">Upgrades </w:t>
            </w:r>
            <w:r w:rsidRPr="005B0ECB">
              <w:rPr>
                <w:rFonts w:ascii="Calibri" w:eastAsia="Times New Roman" w:hAnsi="Calibri" w:cs="Calibri"/>
                <w:color w:val="000000"/>
                <w:lang w:eastAsia="en-GB"/>
              </w:rPr>
              <w:t>&amp; NHP</w:t>
            </w:r>
            <w:r>
              <w:rPr>
                <w:rFonts w:ascii="Calibri" w:eastAsia="Times New Roman" w:hAnsi="Calibri" w:cs="Calibri"/>
                <w:color w:val="000000"/>
                <w:lang w:eastAsia="en-GB"/>
              </w:rPr>
              <w:t xml:space="preserve"> Programmes</w:t>
            </w:r>
            <w:r w:rsidR="009156BC">
              <w:rPr>
                <w:rFonts w:ascii="Calibri" w:eastAsia="Times New Roman" w:hAnsi="Calibri" w:cs="Calibri"/>
                <w:color w:val="000000"/>
                <w:lang w:eastAsia="en-GB"/>
              </w:rPr>
              <w:t xml:space="preserve"> PDC</w:t>
            </w:r>
          </w:p>
        </w:tc>
        <w:tc>
          <w:tcPr>
            <w:tcW w:w="1288" w:type="dxa"/>
            <w:shd w:val="clear" w:color="auto" w:fill="EEECE1" w:themeFill="background2"/>
          </w:tcPr>
          <w:p w14:paraId="0523E4FB" w14:textId="77777777" w:rsidR="00846321" w:rsidRPr="005B0ECB" w:rsidRDefault="00846321" w:rsidP="007A3339">
            <w:pPr>
              <w:jc w:val="right"/>
              <w:rPr>
                <w:rFonts w:ascii="Calibri" w:eastAsia="Times New Roman" w:hAnsi="Calibri" w:cs="Calibri"/>
                <w:color w:val="000000"/>
                <w:lang w:eastAsia="en-GB"/>
              </w:rPr>
            </w:pPr>
          </w:p>
        </w:tc>
        <w:tc>
          <w:tcPr>
            <w:tcW w:w="1450" w:type="dxa"/>
          </w:tcPr>
          <w:p w14:paraId="4D142FE6"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19" w:type="dxa"/>
          </w:tcPr>
          <w:p w14:paraId="1A7E65AC"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450" w:type="dxa"/>
          </w:tcPr>
          <w:p w14:paraId="7E0F2629"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514" w:type="dxa"/>
          </w:tcPr>
          <w:p w14:paraId="2637F951"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1,550</w:t>
            </w:r>
          </w:p>
        </w:tc>
        <w:tc>
          <w:tcPr>
            <w:tcW w:w="1387" w:type="dxa"/>
          </w:tcPr>
          <w:p w14:paraId="4C646D2B"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582" w:type="dxa"/>
          </w:tcPr>
          <w:p w14:paraId="43BCF52B"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1,100</w:t>
            </w:r>
          </w:p>
        </w:tc>
        <w:tc>
          <w:tcPr>
            <w:tcW w:w="1275" w:type="dxa"/>
            <w:shd w:val="clear" w:color="auto" w:fill="auto"/>
            <w:noWrap/>
            <w:vAlign w:val="bottom"/>
            <w:hideMark/>
          </w:tcPr>
          <w:p w14:paraId="431657B3" w14:textId="77777777" w:rsidR="00846321" w:rsidRPr="005B0ECB" w:rsidRDefault="00846321" w:rsidP="007A3339">
            <w:pPr>
              <w:spacing w:line="48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2,650</w:t>
            </w:r>
          </w:p>
        </w:tc>
      </w:tr>
      <w:tr w:rsidR="00846321" w:rsidRPr="00F77EF5" w14:paraId="32F4426D" w14:textId="77777777" w:rsidTr="00846321">
        <w:trPr>
          <w:trHeight w:val="1404"/>
        </w:trPr>
        <w:tc>
          <w:tcPr>
            <w:tcW w:w="1135" w:type="dxa"/>
            <w:shd w:val="clear" w:color="auto" w:fill="auto"/>
            <w:noWrap/>
            <w:vAlign w:val="center"/>
            <w:hideMark/>
          </w:tcPr>
          <w:p w14:paraId="7015BF1E" w14:textId="77777777" w:rsidR="00846321" w:rsidRPr="005B0ECB" w:rsidRDefault="00846321" w:rsidP="007A3339">
            <w:pPr>
              <w:rPr>
                <w:rFonts w:ascii="Calibri" w:eastAsia="Times New Roman" w:hAnsi="Calibri" w:cs="Calibri"/>
                <w:color w:val="000000"/>
                <w:lang w:eastAsia="en-GB"/>
              </w:rPr>
            </w:pPr>
            <w:r w:rsidRPr="005B0ECB">
              <w:rPr>
                <w:rFonts w:ascii="Calibri" w:eastAsia="Times New Roman" w:hAnsi="Calibri" w:cs="Calibri"/>
                <w:color w:val="000000"/>
                <w:lang w:eastAsia="en-GB"/>
              </w:rPr>
              <w:t>Provider</w:t>
            </w:r>
          </w:p>
        </w:tc>
        <w:tc>
          <w:tcPr>
            <w:tcW w:w="2822" w:type="dxa"/>
            <w:shd w:val="clear" w:color="auto" w:fill="auto"/>
            <w:noWrap/>
            <w:vAlign w:val="center"/>
            <w:hideMark/>
          </w:tcPr>
          <w:p w14:paraId="0D51E853" w14:textId="71FA2441" w:rsidR="00846321" w:rsidRPr="005B0ECB" w:rsidRDefault="00846321" w:rsidP="007A3339">
            <w:pPr>
              <w:rPr>
                <w:rFonts w:ascii="Calibri" w:eastAsia="Times New Roman" w:hAnsi="Calibri" w:cs="Calibri"/>
                <w:color w:val="000000"/>
                <w:lang w:eastAsia="en-GB"/>
              </w:rPr>
            </w:pPr>
            <w:r w:rsidRPr="005B0ECB">
              <w:rPr>
                <w:rFonts w:ascii="Calibri" w:eastAsia="Times New Roman" w:hAnsi="Calibri" w:cs="Calibri"/>
                <w:color w:val="000000"/>
                <w:lang w:eastAsia="en-GB"/>
              </w:rPr>
              <w:t>National Programmes (diagnostics, Front line digitisation, Mental Health, TIF)</w:t>
            </w:r>
            <w:r w:rsidR="009156BC">
              <w:rPr>
                <w:rFonts w:ascii="Calibri" w:eastAsia="Times New Roman" w:hAnsi="Calibri" w:cs="Calibri"/>
                <w:color w:val="000000"/>
                <w:lang w:eastAsia="en-GB"/>
              </w:rPr>
              <w:t xml:space="preserve"> PDC</w:t>
            </w:r>
          </w:p>
        </w:tc>
        <w:tc>
          <w:tcPr>
            <w:tcW w:w="1288" w:type="dxa"/>
            <w:shd w:val="clear" w:color="auto" w:fill="EEECE1" w:themeFill="background2"/>
          </w:tcPr>
          <w:p w14:paraId="1A4A6689" w14:textId="77777777" w:rsidR="00846321" w:rsidRPr="005B0ECB" w:rsidRDefault="00846321" w:rsidP="007A3339">
            <w:pPr>
              <w:jc w:val="right"/>
              <w:rPr>
                <w:rFonts w:ascii="Calibri" w:eastAsia="Times New Roman" w:hAnsi="Calibri" w:cs="Calibri"/>
                <w:color w:val="000000"/>
                <w:lang w:eastAsia="en-GB"/>
              </w:rPr>
            </w:pPr>
          </w:p>
        </w:tc>
        <w:tc>
          <w:tcPr>
            <w:tcW w:w="1450" w:type="dxa"/>
          </w:tcPr>
          <w:p w14:paraId="334C59F5"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11,376</w:t>
            </w:r>
          </w:p>
        </w:tc>
        <w:tc>
          <w:tcPr>
            <w:tcW w:w="1319" w:type="dxa"/>
          </w:tcPr>
          <w:p w14:paraId="1323CAB9"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2,470</w:t>
            </w:r>
          </w:p>
        </w:tc>
        <w:tc>
          <w:tcPr>
            <w:tcW w:w="1450" w:type="dxa"/>
          </w:tcPr>
          <w:p w14:paraId="5F24CFF4"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30,774</w:t>
            </w:r>
          </w:p>
        </w:tc>
        <w:tc>
          <w:tcPr>
            <w:tcW w:w="1514" w:type="dxa"/>
          </w:tcPr>
          <w:p w14:paraId="224ABF0D"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3,630</w:t>
            </w:r>
          </w:p>
        </w:tc>
        <w:tc>
          <w:tcPr>
            <w:tcW w:w="1387" w:type="dxa"/>
          </w:tcPr>
          <w:p w14:paraId="28900F6B"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216</w:t>
            </w:r>
          </w:p>
        </w:tc>
        <w:tc>
          <w:tcPr>
            <w:tcW w:w="1582" w:type="dxa"/>
          </w:tcPr>
          <w:p w14:paraId="39AC5077"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3,598</w:t>
            </w:r>
          </w:p>
        </w:tc>
        <w:tc>
          <w:tcPr>
            <w:tcW w:w="1275" w:type="dxa"/>
            <w:shd w:val="clear" w:color="auto" w:fill="auto"/>
            <w:noWrap/>
            <w:vAlign w:val="bottom"/>
            <w:hideMark/>
          </w:tcPr>
          <w:p w14:paraId="2297C1D8" w14:textId="77777777" w:rsidR="00846321" w:rsidRPr="005B0ECB" w:rsidRDefault="00846321" w:rsidP="007A3339">
            <w:pPr>
              <w:spacing w:line="120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52,064</w:t>
            </w:r>
          </w:p>
        </w:tc>
      </w:tr>
      <w:tr w:rsidR="00846321" w:rsidRPr="00F77EF5" w14:paraId="15B2C8F9" w14:textId="77777777" w:rsidTr="00846321">
        <w:trPr>
          <w:trHeight w:val="449"/>
        </w:trPr>
        <w:tc>
          <w:tcPr>
            <w:tcW w:w="1135" w:type="dxa"/>
            <w:shd w:val="clear" w:color="auto" w:fill="auto"/>
            <w:noWrap/>
            <w:vAlign w:val="center"/>
            <w:hideMark/>
          </w:tcPr>
          <w:p w14:paraId="5FA529F6" w14:textId="77777777" w:rsidR="00846321" w:rsidRPr="005B0ECB" w:rsidRDefault="00846321" w:rsidP="007A3339">
            <w:pPr>
              <w:rPr>
                <w:rFonts w:ascii="Calibri" w:eastAsia="Times New Roman" w:hAnsi="Calibri" w:cs="Calibri"/>
                <w:color w:val="000000"/>
                <w:lang w:eastAsia="en-GB"/>
              </w:rPr>
            </w:pPr>
            <w:r w:rsidRPr="005B0ECB">
              <w:rPr>
                <w:rFonts w:ascii="Calibri" w:eastAsia="Times New Roman" w:hAnsi="Calibri" w:cs="Calibri"/>
                <w:color w:val="000000"/>
                <w:lang w:eastAsia="en-GB"/>
              </w:rPr>
              <w:t>Provider</w:t>
            </w:r>
          </w:p>
        </w:tc>
        <w:tc>
          <w:tcPr>
            <w:tcW w:w="2822" w:type="dxa"/>
            <w:shd w:val="clear" w:color="auto" w:fill="auto"/>
            <w:noWrap/>
            <w:vAlign w:val="center"/>
            <w:hideMark/>
          </w:tcPr>
          <w:p w14:paraId="5E479E74" w14:textId="77777777" w:rsidR="00846321" w:rsidRPr="005B0ECB" w:rsidRDefault="00846321" w:rsidP="007A3339">
            <w:pPr>
              <w:rPr>
                <w:rFonts w:ascii="Calibri" w:eastAsia="Times New Roman" w:hAnsi="Calibri" w:cs="Calibri"/>
                <w:color w:val="000000"/>
                <w:lang w:eastAsia="en-GB"/>
              </w:rPr>
            </w:pPr>
            <w:r w:rsidRPr="005B0ECB">
              <w:rPr>
                <w:rFonts w:ascii="Calibri" w:eastAsia="Times New Roman" w:hAnsi="Calibri" w:cs="Calibri"/>
                <w:color w:val="000000"/>
                <w:lang w:eastAsia="en-GB"/>
              </w:rPr>
              <w:t>Other (technical accounting)</w:t>
            </w:r>
          </w:p>
        </w:tc>
        <w:tc>
          <w:tcPr>
            <w:tcW w:w="1288" w:type="dxa"/>
            <w:shd w:val="clear" w:color="auto" w:fill="EEECE1" w:themeFill="background2"/>
          </w:tcPr>
          <w:p w14:paraId="7C96AB0B" w14:textId="77777777" w:rsidR="00846321" w:rsidRPr="005B0ECB" w:rsidRDefault="00846321" w:rsidP="007A3339">
            <w:pPr>
              <w:jc w:val="right"/>
              <w:rPr>
                <w:rFonts w:ascii="Calibri" w:eastAsia="Times New Roman" w:hAnsi="Calibri" w:cs="Calibri"/>
                <w:color w:val="000000"/>
                <w:lang w:eastAsia="en-GB"/>
              </w:rPr>
            </w:pPr>
          </w:p>
        </w:tc>
        <w:tc>
          <w:tcPr>
            <w:tcW w:w="1450" w:type="dxa"/>
          </w:tcPr>
          <w:p w14:paraId="3B2CBC35"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19" w:type="dxa"/>
          </w:tcPr>
          <w:p w14:paraId="3E3D16CB"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2,460</w:t>
            </w:r>
          </w:p>
        </w:tc>
        <w:tc>
          <w:tcPr>
            <w:tcW w:w="1450" w:type="dxa"/>
          </w:tcPr>
          <w:p w14:paraId="48A045E8"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514" w:type="dxa"/>
          </w:tcPr>
          <w:p w14:paraId="47A6BF28"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87" w:type="dxa"/>
          </w:tcPr>
          <w:p w14:paraId="63002E42"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582" w:type="dxa"/>
          </w:tcPr>
          <w:p w14:paraId="18FB73D1"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275" w:type="dxa"/>
            <w:shd w:val="clear" w:color="auto" w:fill="auto"/>
            <w:noWrap/>
            <w:vAlign w:val="bottom"/>
            <w:hideMark/>
          </w:tcPr>
          <w:p w14:paraId="0196EA9A" w14:textId="77777777" w:rsidR="00846321" w:rsidRPr="005B0ECB" w:rsidRDefault="00846321" w:rsidP="007A3339">
            <w:pPr>
              <w:spacing w:line="48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2,460</w:t>
            </w:r>
          </w:p>
        </w:tc>
      </w:tr>
      <w:tr w:rsidR="00846321" w:rsidRPr="00F77EF5" w14:paraId="1B7F0744" w14:textId="77777777" w:rsidTr="00846321">
        <w:trPr>
          <w:trHeight w:val="449"/>
        </w:trPr>
        <w:tc>
          <w:tcPr>
            <w:tcW w:w="1135" w:type="dxa"/>
            <w:shd w:val="clear" w:color="000000" w:fill="D9D9D9"/>
            <w:noWrap/>
            <w:vAlign w:val="center"/>
            <w:hideMark/>
          </w:tcPr>
          <w:p w14:paraId="06D4C6B0" w14:textId="77777777" w:rsidR="00846321" w:rsidRPr="005B0ECB" w:rsidRDefault="00846321" w:rsidP="007A3339">
            <w:pPr>
              <w:rPr>
                <w:rFonts w:ascii="Calibri" w:eastAsia="Times New Roman" w:hAnsi="Calibri" w:cs="Calibri"/>
                <w:color w:val="000000"/>
                <w:lang w:eastAsia="en-GB"/>
              </w:rPr>
            </w:pPr>
            <w:r w:rsidRPr="005B0ECB">
              <w:rPr>
                <w:rFonts w:ascii="Calibri" w:eastAsia="Times New Roman" w:hAnsi="Calibri" w:cs="Calibri"/>
                <w:color w:val="000000"/>
                <w:lang w:eastAsia="en-GB"/>
              </w:rPr>
              <w:t> </w:t>
            </w:r>
          </w:p>
        </w:tc>
        <w:tc>
          <w:tcPr>
            <w:tcW w:w="2822" w:type="dxa"/>
            <w:shd w:val="clear" w:color="auto" w:fill="auto"/>
            <w:noWrap/>
            <w:vAlign w:val="center"/>
            <w:hideMark/>
          </w:tcPr>
          <w:p w14:paraId="2BD6FED4" w14:textId="77777777" w:rsidR="00846321" w:rsidRPr="005B0ECB" w:rsidRDefault="00846321" w:rsidP="007A3339">
            <w:pPr>
              <w:rPr>
                <w:rFonts w:ascii="Calibri" w:eastAsia="Times New Roman" w:hAnsi="Calibri" w:cs="Calibri"/>
                <w:color w:val="000000"/>
                <w:lang w:eastAsia="en-GB"/>
              </w:rPr>
            </w:pPr>
            <w:r w:rsidRPr="005B0ECB">
              <w:rPr>
                <w:rFonts w:ascii="Calibri" w:eastAsia="Times New Roman" w:hAnsi="Calibri" w:cs="Calibri"/>
                <w:color w:val="000000"/>
                <w:lang w:eastAsia="en-GB"/>
              </w:rPr>
              <w:t>Total system CDEL</w:t>
            </w:r>
          </w:p>
        </w:tc>
        <w:tc>
          <w:tcPr>
            <w:tcW w:w="1288" w:type="dxa"/>
          </w:tcPr>
          <w:p w14:paraId="71FAE5A3" w14:textId="2BFBBB11" w:rsidR="00846321" w:rsidRPr="005B0ECB" w:rsidRDefault="00851443"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10,175</w:t>
            </w:r>
          </w:p>
        </w:tc>
        <w:tc>
          <w:tcPr>
            <w:tcW w:w="1450" w:type="dxa"/>
          </w:tcPr>
          <w:p w14:paraId="4148A5DF"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29,146</w:t>
            </w:r>
          </w:p>
        </w:tc>
        <w:tc>
          <w:tcPr>
            <w:tcW w:w="1319" w:type="dxa"/>
          </w:tcPr>
          <w:p w14:paraId="1B1043CA"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32,457</w:t>
            </w:r>
          </w:p>
        </w:tc>
        <w:tc>
          <w:tcPr>
            <w:tcW w:w="1450" w:type="dxa"/>
          </w:tcPr>
          <w:p w14:paraId="5A0565D0"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41,358</w:t>
            </w:r>
          </w:p>
        </w:tc>
        <w:tc>
          <w:tcPr>
            <w:tcW w:w="1514" w:type="dxa"/>
          </w:tcPr>
          <w:p w14:paraId="1C1FB6B4"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38,013</w:t>
            </w:r>
          </w:p>
        </w:tc>
        <w:tc>
          <w:tcPr>
            <w:tcW w:w="1387" w:type="dxa"/>
          </w:tcPr>
          <w:p w14:paraId="07B0DE94"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42,836</w:t>
            </w:r>
          </w:p>
        </w:tc>
        <w:tc>
          <w:tcPr>
            <w:tcW w:w="1582" w:type="dxa"/>
          </w:tcPr>
          <w:p w14:paraId="2757764F" w14:textId="77777777" w:rsidR="00846321" w:rsidRPr="005B0ECB" w:rsidRDefault="00846321" w:rsidP="007A3339">
            <w:pPr>
              <w:jc w:val="right"/>
              <w:rPr>
                <w:rFonts w:ascii="Calibri" w:eastAsia="Times New Roman" w:hAnsi="Calibri" w:cs="Calibri"/>
                <w:color w:val="000000"/>
                <w:lang w:eastAsia="en-GB"/>
              </w:rPr>
            </w:pPr>
            <w:r>
              <w:rPr>
                <w:rFonts w:ascii="Calibri" w:eastAsia="Times New Roman" w:hAnsi="Calibri" w:cs="Calibri"/>
                <w:color w:val="000000"/>
                <w:lang w:eastAsia="en-GB"/>
              </w:rPr>
              <w:t>20,042</w:t>
            </w:r>
          </w:p>
        </w:tc>
        <w:tc>
          <w:tcPr>
            <w:tcW w:w="1275" w:type="dxa"/>
            <w:shd w:val="clear" w:color="auto" w:fill="auto"/>
            <w:noWrap/>
            <w:vAlign w:val="bottom"/>
            <w:hideMark/>
          </w:tcPr>
          <w:p w14:paraId="6162846C" w14:textId="3B47EBBB" w:rsidR="00846321" w:rsidRPr="005B0ECB" w:rsidRDefault="00846321" w:rsidP="007A3339">
            <w:pPr>
              <w:spacing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21</w:t>
            </w:r>
            <w:r w:rsidR="00C15048">
              <w:rPr>
                <w:rFonts w:ascii="Calibri" w:eastAsia="Times New Roman" w:hAnsi="Calibri" w:cs="Calibri"/>
                <w:color w:val="000000"/>
                <w:lang w:eastAsia="en-GB"/>
              </w:rPr>
              <w:t>4,027</w:t>
            </w:r>
          </w:p>
        </w:tc>
      </w:tr>
    </w:tbl>
    <w:p w14:paraId="734681FC" w14:textId="77777777" w:rsidR="00846321" w:rsidRPr="00D449E2" w:rsidRDefault="00846321" w:rsidP="00846321">
      <w:pPr>
        <w:rPr>
          <w:sz w:val="32"/>
          <w:szCs w:val="32"/>
        </w:rPr>
      </w:pPr>
    </w:p>
    <w:p w14:paraId="67049F4D" w14:textId="77777777" w:rsidR="007443C2" w:rsidRPr="00972E8A" w:rsidRDefault="007443C2" w:rsidP="00F8738F">
      <w:pPr>
        <w:rPr>
          <w:rFonts w:eastAsiaTheme="minorEastAsia"/>
          <w:b/>
          <w:bCs/>
          <w:color w:val="000000" w:themeColor="text1"/>
          <w:kern w:val="24"/>
          <w:szCs w:val="24"/>
          <w:lang w:val="en-US" w:eastAsia="en-GB"/>
        </w:rPr>
      </w:pPr>
    </w:p>
    <w:sectPr w:rsidR="007443C2" w:rsidRPr="00972E8A" w:rsidSect="00846321">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E7CA4" w14:textId="77777777" w:rsidR="00FC2047" w:rsidRDefault="00FC2047" w:rsidP="00811A35">
      <w:pPr>
        <w:spacing w:after="0" w:line="240" w:lineRule="auto"/>
      </w:pPr>
      <w:r>
        <w:separator/>
      </w:r>
    </w:p>
  </w:endnote>
  <w:endnote w:type="continuationSeparator" w:id="0">
    <w:p w14:paraId="678427B5" w14:textId="77777777" w:rsidR="00FC2047" w:rsidRDefault="00FC2047" w:rsidP="00811A35">
      <w:pPr>
        <w:spacing w:after="0" w:line="240" w:lineRule="auto"/>
      </w:pPr>
      <w:r>
        <w:continuationSeparator/>
      </w:r>
    </w:p>
  </w:endnote>
  <w:endnote w:type="continuationNotice" w:id="1">
    <w:p w14:paraId="5D5CB124" w14:textId="77777777" w:rsidR="00FC2047" w:rsidRDefault="00FC20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DA57" w14:textId="77777777" w:rsidR="00846321" w:rsidRDefault="0084632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545D" w14:textId="77777777" w:rsidR="00D46663" w:rsidRDefault="00D46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847445"/>
      <w:docPartObj>
        <w:docPartGallery w:val="Page Numbers (Bottom of Page)"/>
        <w:docPartUnique/>
      </w:docPartObj>
    </w:sdtPr>
    <w:sdtEndPr>
      <w:rPr>
        <w:noProof/>
      </w:rPr>
    </w:sdtEndPr>
    <w:sdtContent>
      <w:p w14:paraId="02175705" w14:textId="77777777" w:rsidR="00CA5ED8" w:rsidRDefault="00CA5ED8">
        <w:pPr>
          <w:pStyle w:val="Footer"/>
          <w:jc w:val="right"/>
        </w:pPr>
        <w:r>
          <w:fldChar w:fldCharType="begin"/>
        </w:r>
        <w:r>
          <w:instrText xml:space="preserve"> PAGE   \* MERGEFORMAT </w:instrText>
        </w:r>
        <w:r>
          <w:fldChar w:fldCharType="separate"/>
        </w:r>
        <w:r w:rsidR="00DE0E3C">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E888" w14:textId="20A19245" w:rsidR="00D46663" w:rsidRPr="005209E2" w:rsidRDefault="00D46663" w:rsidP="00D46663">
    <w:pPr>
      <w:pStyle w:val="Footer"/>
      <w:rPr>
        <w:sz w:val="16"/>
        <w:szCs w:val="16"/>
      </w:rPr>
    </w:pPr>
    <w:r>
      <w:tab/>
    </w:r>
  </w:p>
  <w:p w14:paraId="28888C50" w14:textId="77777777" w:rsidR="00D46663" w:rsidRDefault="00D46663" w:rsidP="00D46663">
    <w:pPr>
      <w:pStyle w:val="Footer"/>
      <w:tabs>
        <w:tab w:val="clear" w:pos="4513"/>
        <w:tab w:val="clear" w:pos="9026"/>
        <w:tab w:val="left" w:pos="40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CD5E3" w14:textId="77777777" w:rsidR="00FC2047" w:rsidRDefault="00FC2047" w:rsidP="00811A35">
      <w:pPr>
        <w:spacing w:after="0" w:line="240" w:lineRule="auto"/>
      </w:pPr>
      <w:r>
        <w:separator/>
      </w:r>
    </w:p>
  </w:footnote>
  <w:footnote w:type="continuationSeparator" w:id="0">
    <w:p w14:paraId="54274E4D" w14:textId="77777777" w:rsidR="00FC2047" w:rsidRDefault="00FC2047" w:rsidP="00811A35">
      <w:pPr>
        <w:spacing w:after="0" w:line="240" w:lineRule="auto"/>
      </w:pPr>
      <w:r>
        <w:continuationSeparator/>
      </w:r>
    </w:p>
  </w:footnote>
  <w:footnote w:type="continuationNotice" w:id="1">
    <w:p w14:paraId="5E53EDE4" w14:textId="77777777" w:rsidR="00FC2047" w:rsidRDefault="00FC20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88EB" w14:textId="77777777" w:rsidR="00846321" w:rsidRDefault="00846321">
    <w:pPr>
      <w:pStyle w:val="BodyText"/>
      <w:spacing w:line="14" w:lineRule="auto"/>
      <w:rPr>
        <w:sz w:val="20"/>
      </w:rPr>
    </w:pPr>
    <w:r w:rsidRPr="008F5763">
      <w:rPr>
        <w:b/>
        <w:bCs/>
        <w:noProof/>
        <w:color w:val="244061" w:themeColor="accent1" w:themeShade="80"/>
        <w:sz w:val="44"/>
        <w:szCs w:val="44"/>
        <w:lang w:eastAsia="en-GB"/>
      </w:rPr>
      <w:drawing>
        <wp:anchor distT="0" distB="0" distL="114300" distR="114300" simplePos="0" relativeHeight="251659264" behindDoc="0" locked="0" layoutInCell="1" allowOverlap="1" wp14:anchorId="7C50FE33" wp14:editId="4A34D214">
          <wp:simplePos x="0" y="0"/>
          <wp:positionH relativeFrom="page">
            <wp:posOffset>584200</wp:posOffset>
          </wp:positionH>
          <wp:positionV relativeFrom="page">
            <wp:posOffset>360045</wp:posOffset>
          </wp:positionV>
          <wp:extent cx="1413228" cy="57415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13228" cy="57415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79FC" w14:textId="77777777" w:rsidR="00D46663" w:rsidRDefault="00D46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3CB5" w14:textId="77777777" w:rsidR="00811A35" w:rsidRPr="006E3B6E" w:rsidRDefault="00811A35" w:rsidP="006E3B6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B5E1" w14:textId="77777777" w:rsidR="006E3B6E" w:rsidRDefault="006E3B6E" w:rsidP="006E3B6E">
    <w:pPr>
      <w:pStyle w:val="Header"/>
      <w:jc w:val="right"/>
    </w:pPr>
    <w:r>
      <w:rPr>
        <w:noProof/>
      </w:rPr>
      <w:drawing>
        <wp:inline distT="0" distB="0" distL="0" distR="0" wp14:anchorId="775FEC5D" wp14:editId="35FB99C8">
          <wp:extent cx="1591310" cy="10363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733"/>
    <w:multiLevelType w:val="multilevel"/>
    <w:tmpl w:val="65F4DAFA"/>
    <w:lvl w:ilvl="0">
      <w:start w:val="1"/>
      <w:numFmt w:val="bullet"/>
      <w:lvlText w:val=""/>
      <w:lvlJc w:val="left"/>
      <w:pPr>
        <w:tabs>
          <w:tab w:val="num" w:pos="709"/>
        </w:tabs>
        <w:ind w:left="993" w:hanging="284"/>
      </w:pPr>
      <w:rPr>
        <w:rFonts w:ascii="Symbol" w:hAnsi="Symbol" w:hint="default"/>
        <w:color w:val="005EB8"/>
      </w:rPr>
    </w:lvl>
    <w:lvl w:ilvl="1">
      <w:start w:val="1"/>
      <w:numFmt w:val="bullet"/>
      <w:lvlText w:val="‒"/>
      <w:lvlJc w:val="left"/>
      <w:pPr>
        <w:tabs>
          <w:tab w:val="num" w:pos="1276"/>
        </w:tabs>
        <w:ind w:left="1276" w:hanging="283"/>
      </w:pPr>
      <w:rPr>
        <w:rFonts w:ascii="Arial" w:hAnsi="Arial" w:cs="Times New Roman" w:hint="default"/>
        <w:color w:val="005EB8"/>
      </w:rPr>
    </w:lvl>
    <w:lvl w:ilvl="2">
      <w:start w:val="1"/>
      <w:numFmt w:val="bullet"/>
      <w:lvlText w:val=""/>
      <w:lvlJc w:val="left"/>
      <w:pPr>
        <w:tabs>
          <w:tab w:val="num" w:pos="1214"/>
        </w:tabs>
        <w:ind w:left="1185" w:hanging="329"/>
      </w:pPr>
      <w:rPr>
        <w:rFonts w:ascii="Symbol" w:hAnsi="Symbol" w:hint="default"/>
        <w:color w:val="auto"/>
      </w:rPr>
    </w:lvl>
    <w:lvl w:ilvl="3">
      <w:start w:val="1"/>
      <w:numFmt w:val="bullet"/>
      <w:lvlText w:val=""/>
      <w:lvlJc w:val="left"/>
      <w:pPr>
        <w:tabs>
          <w:tab w:val="num" w:pos="1571"/>
        </w:tabs>
        <w:ind w:left="1571" w:hanging="357"/>
      </w:pPr>
      <w:rPr>
        <w:rFonts w:ascii="Symbol" w:hAnsi="Symbol" w:hint="default"/>
        <w:color w:val="auto"/>
      </w:rPr>
    </w:lvl>
    <w:lvl w:ilvl="4">
      <w:start w:val="1"/>
      <w:numFmt w:val="bullet"/>
      <w:lvlText w:val=""/>
      <w:lvlJc w:val="left"/>
      <w:pPr>
        <w:tabs>
          <w:tab w:val="num" w:pos="1928"/>
        </w:tabs>
        <w:ind w:left="1928" w:hanging="357"/>
      </w:pPr>
      <w:rPr>
        <w:rFonts w:ascii="Symbol" w:hAnsi="Symbol" w:hint="default"/>
        <w:color w:val="auto"/>
      </w:r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0DE65929"/>
    <w:multiLevelType w:val="hybridMultilevel"/>
    <w:tmpl w:val="9314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82E06"/>
    <w:multiLevelType w:val="multilevel"/>
    <w:tmpl w:val="3D08CF68"/>
    <w:name w:val="nhs_bullets"/>
    <w:styleLink w:val="NHSBullets"/>
    <w:lvl w:ilvl="0">
      <w:start w:val="1"/>
      <w:numFmt w:val="bullet"/>
      <w:pStyle w:val="ListBullet"/>
      <w:lvlText w:val=""/>
      <w:lvlJc w:val="left"/>
      <w:pPr>
        <w:tabs>
          <w:tab w:val="num" w:pos="2149"/>
        </w:tabs>
        <w:ind w:left="2433" w:hanging="284"/>
      </w:pPr>
      <w:rPr>
        <w:rFonts w:ascii="Symbol" w:hAnsi="Symbol" w:hint="default"/>
        <w:color w:val="005EB8"/>
      </w:rPr>
    </w:lvl>
    <w:lvl w:ilvl="1">
      <w:start w:val="1"/>
      <w:numFmt w:val="bullet"/>
      <w:pStyle w:val="ListBullet2"/>
      <w:lvlText w:val="‒"/>
      <w:lvlJc w:val="left"/>
      <w:pPr>
        <w:tabs>
          <w:tab w:val="num" w:pos="2716"/>
        </w:tabs>
        <w:ind w:left="2716" w:hanging="283"/>
      </w:pPr>
      <w:rPr>
        <w:rFonts w:ascii="Arial" w:hAnsi="Arial" w:cs="Times New Roman" w:hint="default"/>
        <w:color w:val="005EB8"/>
      </w:rPr>
    </w:lvl>
    <w:lvl w:ilvl="2">
      <w:start w:val="1"/>
      <w:numFmt w:val="bullet"/>
      <w:pStyle w:val="ListBullet3"/>
      <w:lvlText w:val=""/>
      <w:lvlJc w:val="left"/>
      <w:pPr>
        <w:tabs>
          <w:tab w:val="num" w:pos="2654"/>
        </w:tabs>
        <w:ind w:left="2625" w:hanging="329"/>
      </w:pPr>
      <w:rPr>
        <w:rFonts w:ascii="Symbol" w:hAnsi="Symbol" w:hint="default"/>
        <w:color w:val="auto"/>
      </w:rPr>
    </w:lvl>
    <w:lvl w:ilvl="3">
      <w:start w:val="1"/>
      <w:numFmt w:val="bullet"/>
      <w:pStyle w:val="ListBullet4"/>
      <w:lvlText w:val=""/>
      <w:lvlJc w:val="left"/>
      <w:pPr>
        <w:tabs>
          <w:tab w:val="num" w:pos="3011"/>
        </w:tabs>
        <w:ind w:left="3011" w:hanging="357"/>
      </w:pPr>
      <w:rPr>
        <w:rFonts w:ascii="Symbol" w:hAnsi="Symbol" w:hint="default"/>
        <w:color w:val="auto"/>
      </w:rPr>
    </w:lvl>
    <w:lvl w:ilvl="4">
      <w:start w:val="1"/>
      <w:numFmt w:val="bullet"/>
      <w:pStyle w:val="ListBullet5"/>
      <w:lvlText w:val=""/>
      <w:lvlJc w:val="left"/>
      <w:pPr>
        <w:tabs>
          <w:tab w:val="num" w:pos="3368"/>
        </w:tabs>
        <w:ind w:left="3368" w:hanging="357"/>
      </w:pPr>
      <w:rPr>
        <w:rFonts w:ascii="Symbol" w:hAnsi="Symbol" w:hint="default"/>
        <w:color w:val="auto"/>
      </w:rPr>
    </w:lvl>
    <w:lvl w:ilvl="5">
      <w:start w:val="1"/>
      <w:numFmt w:val="lowerRoman"/>
      <w:lvlText w:val="%6."/>
      <w:lvlJc w:val="right"/>
      <w:pPr>
        <w:ind w:left="5902" w:hanging="180"/>
      </w:pPr>
    </w:lvl>
    <w:lvl w:ilvl="6">
      <w:start w:val="1"/>
      <w:numFmt w:val="decimal"/>
      <w:lvlText w:val="%7."/>
      <w:lvlJc w:val="left"/>
      <w:pPr>
        <w:ind w:left="6622" w:hanging="360"/>
      </w:pPr>
    </w:lvl>
    <w:lvl w:ilvl="7">
      <w:start w:val="1"/>
      <w:numFmt w:val="lowerLetter"/>
      <w:lvlText w:val="%8."/>
      <w:lvlJc w:val="left"/>
      <w:pPr>
        <w:ind w:left="7342" w:hanging="360"/>
      </w:pPr>
    </w:lvl>
    <w:lvl w:ilvl="8">
      <w:start w:val="1"/>
      <w:numFmt w:val="lowerRoman"/>
      <w:lvlText w:val="%9."/>
      <w:lvlJc w:val="right"/>
      <w:pPr>
        <w:ind w:left="8062" w:hanging="180"/>
      </w:pPr>
    </w:lvl>
  </w:abstractNum>
  <w:abstractNum w:abstractNumId="3" w15:restartNumberingAfterBreak="0">
    <w:nsid w:val="26622B84"/>
    <w:multiLevelType w:val="hybridMultilevel"/>
    <w:tmpl w:val="57E8C080"/>
    <w:lvl w:ilvl="0" w:tplc="78749688">
      <w:numFmt w:val="bullet"/>
      <w:pStyle w:val="Bulletlis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89434D"/>
    <w:multiLevelType w:val="hybridMultilevel"/>
    <w:tmpl w:val="8AE26496"/>
    <w:lvl w:ilvl="0" w:tplc="08090001">
      <w:start w:val="1"/>
      <w:numFmt w:val="bullet"/>
      <w:lvlText w:val=""/>
      <w:lvlJc w:val="left"/>
      <w:pPr>
        <w:ind w:left="827" w:hanging="360"/>
      </w:pPr>
      <w:rPr>
        <w:rFonts w:ascii="Symbol" w:hAnsi="Symbol" w:hint="default"/>
      </w:rPr>
    </w:lvl>
    <w:lvl w:ilvl="1" w:tplc="FFFFFFFF" w:tentative="1">
      <w:start w:val="1"/>
      <w:numFmt w:val="lowerLetter"/>
      <w:lvlText w:val="%2."/>
      <w:lvlJc w:val="left"/>
      <w:pPr>
        <w:ind w:left="1547" w:hanging="360"/>
      </w:pPr>
    </w:lvl>
    <w:lvl w:ilvl="2" w:tplc="FFFFFFFF" w:tentative="1">
      <w:start w:val="1"/>
      <w:numFmt w:val="lowerRoman"/>
      <w:lvlText w:val="%3."/>
      <w:lvlJc w:val="right"/>
      <w:pPr>
        <w:ind w:left="2267" w:hanging="180"/>
      </w:pPr>
    </w:lvl>
    <w:lvl w:ilvl="3" w:tplc="FFFFFFFF" w:tentative="1">
      <w:start w:val="1"/>
      <w:numFmt w:val="decimal"/>
      <w:lvlText w:val="%4."/>
      <w:lvlJc w:val="left"/>
      <w:pPr>
        <w:ind w:left="2987" w:hanging="360"/>
      </w:pPr>
    </w:lvl>
    <w:lvl w:ilvl="4" w:tplc="FFFFFFFF" w:tentative="1">
      <w:start w:val="1"/>
      <w:numFmt w:val="lowerLetter"/>
      <w:lvlText w:val="%5."/>
      <w:lvlJc w:val="left"/>
      <w:pPr>
        <w:ind w:left="3707" w:hanging="360"/>
      </w:pPr>
    </w:lvl>
    <w:lvl w:ilvl="5" w:tplc="FFFFFFFF" w:tentative="1">
      <w:start w:val="1"/>
      <w:numFmt w:val="lowerRoman"/>
      <w:lvlText w:val="%6."/>
      <w:lvlJc w:val="right"/>
      <w:pPr>
        <w:ind w:left="4427" w:hanging="180"/>
      </w:pPr>
    </w:lvl>
    <w:lvl w:ilvl="6" w:tplc="FFFFFFFF" w:tentative="1">
      <w:start w:val="1"/>
      <w:numFmt w:val="decimal"/>
      <w:lvlText w:val="%7."/>
      <w:lvlJc w:val="left"/>
      <w:pPr>
        <w:ind w:left="5147" w:hanging="360"/>
      </w:pPr>
    </w:lvl>
    <w:lvl w:ilvl="7" w:tplc="FFFFFFFF" w:tentative="1">
      <w:start w:val="1"/>
      <w:numFmt w:val="lowerLetter"/>
      <w:lvlText w:val="%8."/>
      <w:lvlJc w:val="left"/>
      <w:pPr>
        <w:ind w:left="5867" w:hanging="360"/>
      </w:pPr>
    </w:lvl>
    <w:lvl w:ilvl="8" w:tplc="FFFFFFFF" w:tentative="1">
      <w:start w:val="1"/>
      <w:numFmt w:val="lowerRoman"/>
      <w:lvlText w:val="%9."/>
      <w:lvlJc w:val="right"/>
      <w:pPr>
        <w:ind w:left="6587" w:hanging="180"/>
      </w:pPr>
    </w:lvl>
  </w:abstractNum>
  <w:abstractNum w:abstractNumId="5" w15:restartNumberingAfterBreak="0">
    <w:nsid w:val="4F6F1E0D"/>
    <w:multiLevelType w:val="hybridMultilevel"/>
    <w:tmpl w:val="1474F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32B0D"/>
    <w:multiLevelType w:val="multilevel"/>
    <w:tmpl w:val="FD007232"/>
    <w:lvl w:ilvl="0">
      <w:start w:val="1"/>
      <w:numFmt w:val="decimal"/>
      <w:lvlText w:val="%1.0"/>
      <w:lvlJc w:val="left"/>
      <w:pPr>
        <w:ind w:left="360" w:hanging="360"/>
      </w:pPr>
      <w:rPr>
        <w:color w:val="FFFFFF" w:themeColor="background1"/>
      </w:rPr>
    </w:lvl>
    <w:lvl w:ilvl="1">
      <w:start w:val="1"/>
      <w:numFmt w:val="decimal"/>
      <w:isLgl/>
      <w:lvlText w:val="%1.%2"/>
      <w:lvlJc w:val="left"/>
      <w:pPr>
        <w:ind w:left="3621" w:hanging="360"/>
      </w:pPr>
      <w:rPr>
        <w:b w:val="0"/>
      </w:rPr>
    </w:lvl>
    <w:lvl w:ilvl="2">
      <w:start w:val="1"/>
      <w:numFmt w:val="bullet"/>
      <w:lvlText w:val=""/>
      <w:lvlJc w:val="left"/>
      <w:pPr>
        <w:ind w:left="720" w:hanging="720"/>
      </w:pPr>
      <w:rPr>
        <w:rFonts w:ascii="Wingdings" w:hAnsi="Wingdings" w:hint="default"/>
      </w:rPr>
    </w:lvl>
    <w:lvl w:ilvl="3">
      <w:start w:val="1"/>
      <w:numFmt w:val="decimal"/>
      <w:lvlText w:val="%4."/>
      <w:lvlJc w:val="left"/>
      <w:pPr>
        <w:ind w:left="1571"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140"/>
      <w:numFmt w:val="bullet"/>
      <w:lvlText w:val="–"/>
      <w:lvlJc w:val="left"/>
      <w:pPr>
        <w:ind w:left="1440" w:hanging="1440"/>
      </w:pPr>
      <w:rPr>
        <w:rFonts w:ascii="Arial" w:hAnsi="Arial" w:cs="Times New Roman" w:hint="default"/>
      </w:rPr>
    </w:lvl>
    <w:lvl w:ilvl="7">
      <w:start w:val="1"/>
      <w:numFmt w:val="bullet"/>
      <w:lvlText w:val=""/>
      <w:lvlJc w:val="left"/>
      <w:pPr>
        <w:ind w:left="1800" w:hanging="1800"/>
      </w:pPr>
      <w:rPr>
        <w:rFonts w:ascii="Symbol" w:hAnsi="Symbol" w:hint="default"/>
      </w:rPr>
    </w:lvl>
    <w:lvl w:ilvl="8">
      <w:start w:val="1"/>
      <w:numFmt w:val="decimal"/>
      <w:isLgl/>
      <w:lvlText w:val="%1.%2.%3.%4.%5.%6.%7.%8.%9"/>
      <w:lvlJc w:val="left"/>
      <w:pPr>
        <w:ind w:left="1800" w:hanging="1800"/>
      </w:pPr>
    </w:lvl>
  </w:abstractNum>
  <w:abstractNum w:abstractNumId="7" w15:restartNumberingAfterBreak="0">
    <w:nsid w:val="60776FD1"/>
    <w:multiLevelType w:val="hybridMultilevel"/>
    <w:tmpl w:val="3A7C02AE"/>
    <w:lvl w:ilvl="0" w:tplc="26B0B18E">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EA73D4"/>
    <w:multiLevelType w:val="multilevel"/>
    <w:tmpl w:val="3DAEB6DC"/>
    <w:lvl w:ilvl="0">
      <w:start w:val="2"/>
      <w:numFmt w:val="decimal"/>
      <w:lvlText w:val="%1."/>
      <w:lvlJc w:val="left"/>
      <w:pPr>
        <w:tabs>
          <w:tab w:val="num" w:pos="720"/>
        </w:tabs>
        <w:ind w:left="720" w:hanging="360"/>
      </w:pPr>
      <w:rPr>
        <w:b/>
        <w:bCs/>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3A976FB"/>
    <w:multiLevelType w:val="hybridMultilevel"/>
    <w:tmpl w:val="13C26BD2"/>
    <w:lvl w:ilvl="0" w:tplc="7DE8D326">
      <w:start w:val="1"/>
      <w:numFmt w:val="decimal"/>
      <w:lvlText w:val="%1."/>
      <w:lvlJc w:val="left"/>
      <w:pPr>
        <w:ind w:left="930" w:hanging="570"/>
      </w:pPr>
      <w:rPr>
        <w:rFonts w:eastAsiaTheme="minorEastAsia"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3534414">
    <w:abstractNumId w:val="3"/>
  </w:num>
  <w:num w:numId="2" w16cid:durableId="136848785">
    <w:abstractNumId w:val="7"/>
  </w:num>
  <w:num w:numId="3" w16cid:durableId="1519078165">
    <w:abstractNumId w:val="8"/>
  </w:num>
  <w:num w:numId="4" w16cid:durableId="99570218">
    <w:abstractNumId w:val="9"/>
  </w:num>
  <w:num w:numId="5" w16cid:durableId="95368259">
    <w:abstractNumId w:val="2"/>
  </w:num>
  <w:num w:numId="6" w16cid:durableId="486358998">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lvlOverride w:ilvl="7"/>
    <w:lvlOverride w:ilvl="8">
      <w:startOverride w:val="1"/>
    </w:lvlOverride>
  </w:num>
  <w:num w:numId="7" w16cid:durableId="610748721">
    <w:abstractNumId w:val="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16cid:durableId="1272859909">
    <w:abstractNumId w:val="1"/>
  </w:num>
  <w:num w:numId="9" w16cid:durableId="249892321">
    <w:abstractNumId w:val="4"/>
  </w:num>
  <w:num w:numId="10" w16cid:durableId="56472963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4E"/>
    <w:rsid w:val="00014395"/>
    <w:rsid w:val="000229A7"/>
    <w:rsid w:val="000538EC"/>
    <w:rsid w:val="0006524E"/>
    <w:rsid w:val="000707E9"/>
    <w:rsid w:val="000B3E51"/>
    <w:rsid w:val="000B6F1C"/>
    <w:rsid w:val="000D48D2"/>
    <w:rsid w:val="000D6B3E"/>
    <w:rsid w:val="000E6994"/>
    <w:rsid w:val="000F6A59"/>
    <w:rsid w:val="0010157C"/>
    <w:rsid w:val="00101DA7"/>
    <w:rsid w:val="00103ACB"/>
    <w:rsid w:val="00113FCF"/>
    <w:rsid w:val="001165F4"/>
    <w:rsid w:val="00123E3A"/>
    <w:rsid w:val="0013788E"/>
    <w:rsid w:val="001461DC"/>
    <w:rsid w:val="001467DD"/>
    <w:rsid w:val="00175074"/>
    <w:rsid w:val="001756FC"/>
    <w:rsid w:val="0017607E"/>
    <w:rsid w:val="00186477"/>
    <w:rsid w:val="001B7016"/>
    <w:rsid w:val="001C595C"/>
    <w:rsid w:val="001D0DF6"/>
    <w:rsid w:val="001F3F3D"/>
    <w:rsid w:val="00216AD6"/>
    <w:rsid w:val="00260A4E"/>
    <w:rsid w:val="00266DD3"/>
    <w:rsid w:val="0027309C"/>
    <w:rsid w:val="002B6BA0"/>
    <w:rsid w:val="002D176C"/>
    <w:rsid w:val="002D7D81"/>
    <w:rsid w:val="002E5D2E"/>
    <w:rsid w:val="002E6B10"/>
    <w:rsid w:val="002F705E"/>
    <w:rsid w:val="00351EAF"/>
    <w:rsid w:val="00360A41"/>
    <w:rsid w:val="00382511"/>
    <w:rsid w:val="003839D2"/>
    <w:rsid w:val="003A7527"/>
    <w:rsid w:val="003B6A24"/>
    <w:rsid w:val="003C10E2"/>
    <w:rsid w:val="003D6884"/>
    <w:rsid w:val="003E32A4"/>
    <w:rsid w:val="004025BF"/>
    <w:rsid w:val="00414942"/>
    <w:rsid w:val="00422A68"/>
    <w:rsid w:val="00441890"/>
    <w:rsid w:val="00447390"/>
    <w:rsid w:val="00462789"/>
    <w:rsid w:val="00473C66"/>
    <w:rsid w:val="0048413F"/>
    <w:rsid w:val="00484880"/>
    <w:rsid w:val="00494F0C"/>
    <w:rsid w:val="004E4428"/>
    <w:rsid w:val="0050054B"/>
    <w:rsid w:val="00512C0E"/>
    <w:rsid w:val="005209E2"/>
    <w:rsid w:val="00523A5E"/>
    <w:rsid w:val="00530BB1"/>
    <w:rsid w:val="00533AB0"/>
    <w:rsid w:val="00537BA4"/>
    <w:rsid w:val="0056654E"/>
    <w:rsid w:val="00580CD3"/>
    <w:rsid w:val="00587EAC"/>
    <w:rsid w:val="005B693D"/>
    <w:rsid w:val="005D36CB"/>
    <w:rsid w:val="005D5E3E"/>
    <w:rsid w:val="005E4A15"/>
    <w:rsid w:val="005F6E40"/>
    <w:rsid w:val="00607795"/>
    <w:rsid w:val="006245AB"/>
    <w:rsid w:val="00641141"/>
    <w:rsid w:val="00641C2B"/>
    <w:rsid w:val="006474AB"/>
    <w:rsid w:val="006672CC"/>
    <w:rsid w:val="006B4B7D"/>
    <w:rsid w:val="006B6A9E"/>
    <w:rsid w:val="006B7A24"/>
    <w:rsid w:val="006C224D"/>
    <w:rsid w:val="006D0CEA"/>
    <w:rsid w:val="006D6E0C"/>
    <w:rsid w:val="006E3B6E"/>
    <w:rsid w:val="006F167D"/>
    <w:rsid w:val="00700D5F"/>
    <w:rsid w:val="007443C2"/>
    <w:rsid w:val="00746B66"/>
    <w:rsid w:val="00752A83"/>
    <w:rsid w:val="00755565"/>
    <w:rsid w:val="007706DE"/>
    <w:rsid w:val="00776B44"/>
    <w:rsid w:val="007802C6"/>
    <w:rsid w:val="00787F16"/>
    <w:rsid w:val="00790557"/>
    <w:rsid w:val="0079562C"/>
    <w:rsid w:val="007B34ED"/>
    <w:rsid w:val="007D6C00"/>
    <w:rsid w:val="007D6F72"/>
    <w:rsid w:val="007E0993"/>
    <w:rsid w:val="007E7261"/>
    <w:rsid w:val="007F6BAC"/>
    <w:rsid w:val="007F76C3"/>
    <w:rsid w:val="00804546"/>
    <w:rsid w:val="00811A35"/>
    <w:rsid w:val="00822BEB"/>
    <w:rsid w:val="008348CE"/>
    <w:rsid w:val="00846321"/>
    <w:rsid w:val="00851443"/>
    <w:rsid w:val="008628EA"/>
    <w:rsid w:val="008B0601"/>
    <w:rsid w:val="008B2514"/>
    <w:rsid w:val="008B28AD"/>
    <w:rsid w:val="008B358A"/>
    <w:rsid w:val="008C27DA"/>
    <w:rsid w:val="008D1E30"/>
    <w:rsid w:val="008D69AF"/>
    <w:rsid w:val="008F0C43"/>
    <w:rsid w:val="00904F72"/>
    <w:rsid w:val="009137C2"/>
    <w:rsid w:val="0091476F"/>
    <w:rsid w:val="009156BC"/>
    <w:rsid w:val="009420DB"/>
    <w:rsid w:val="0094533B"/>
    <w:rsid w:val="00955869"/>
    <w:rsid w:val="00972E8A"/>
    <w:rsid w:val="00987719"/>
    <w:rsid w:val="00993EE1"/>
    <w:rsid w:val="009A2860"/>
    <w:rsid w:val="009B5C4C"/>
    <w:rsid w:val="009C0B4C"/>
    <w:rsid w:val="009C5E2E"/>
    <w:rsid w:val="009E76A6"/>
    <w:rsid w:val="009F1551"/>
    <w:rsid w:val="00A2047F"/>
    <w:rsid w:val="00A20A31"/>
    <w:rsid w:val="00A2274B"/>
    <w:rsid w:val="00A2589C"/>
    <w:rsid w:val="00A3127A"/>
    <w:rsid w:val="00A37EB3"/>
    <w:rsid w:val="00A42A00"/>
    <w:rsid w:val="00A542E2"/>
    <w:rsid w:val="00A65B0A"/>
    <w:rsid w:val="00A67377"/>
    <w:rsid w:val="00A8443B"/>
    <w:rsid w:val="00A85699"/>
    <w:rsid w:val="00AB4945"/>
    <w:rsid w:val="00AE457D"/>
    <w:rsid w:val="00B1310B"/>
    <w:rsid w:val="00B342CB"/>
    <w:rsid w:val="00B40390"/>
    <w:rsid w:val="00B8004A"/>
    <w:rsid w:val="00B8212B"/>
    <w:rsid w:val="00BC4BE1"/>
    <w:rsid w:val="00BE03A2"/>
    <w:rsid w:val="00BE342D"/>
    <w:rsid w:val="00C039D9"/>
    <w:rsid w:val="00C12D1D"/>
    <w:rsid w:val="00C15048"/>
    <w:rsid w:val="00C23962"/>
    <w:rsid w:val="00C40802"/>
    <w:rsid w:val="00CA3231"/>
    <w:rsid w:val="00CA5ED8"/>
    <w:rsid w:val="00CC4A4D"/>
    <w:rsid w:val="00CE3877"/>
    <w:rsid w:val="00CF111C"/>
    <w:rsid w:val="00CF45B2"/>
    <w:rsid w:val="00D04B40"/>
    <w:rsid w:val="00D117A8"/>
    <w:rsid w:val="00D2089F"/>
    <w:rsid w:val="00D26991"/>
    <w:rsid w:val="00D27A4F"/>
    <w:rsid w:val="00D46663"/>
    <w:rsid w:val="00D709B2"/>
    <w:rsid w:val="00D733F3"/>
    <w:rsid w:val="00D97AA0"/>
    <w:rsid w:val="00DA478E"/>
    <w:rsid w:val="00DB5781"/>
    <w:rsid w:val="00DC21DE"/>
    <w:rsid w:val="00DC221F"/>
    <w:rsid w:val="00DC6AFA"/>
    <w:rsid w:val="00DE0E3C"/>
    <w:rsid w:val="00E038B1"/>
    <w:rsid w:val="00E10345"/>
    <w:rsid w:val="00E553F8"/>
    <w:rsid w:val="00E70E09"/>
    <w:rsid w:val="00E83BC5"/>
    <w:rsid w:val="00E86393"/>
    <w:rsid w:val="00E92653"/>
    <w:rsid w:val="00EB67E2"/>
    <w:rsid w:val="00EB684D"/>
    <w:rsid w:val="00EC3C73"/>
    <w:rsid w:val="00EC5946"/>
    <w:rsid w:val="00EE05FF"/>
    <w:rsid w:val="00EF4BED"/>
    <w:rsid w:val="00EF7C30"/>
    <w:rsid w:val="00F060CE"/>
    <w:rsid w:val="00F22D49"/>
    <w:rsid w:val="00F2306F"/>
    <w:rsid w:val="00F23C01"/>
    <w:rsid w:val="00F27A57"/>
    <w:rsid w:val="00F42109"/>
    <w:rsid w:val="00F50FC1"/>
    <w:rsid w:val="00F611C7"/>
    <w:rsid w:val="00F63F09"/>
    <w:rsid w:val="00F720F3"/>
    <w:rsid w:val="00F761D0"/>
    <w:rsid w:val="00F8738F"/>
    <w:rsid w:val="00FB2E35"/>
    <w:rsid w:val="00FC2047"/>
    <w:rsid w:val="00FC29A9"/>
    <w:rsid w:val="00FC323F"/>
    <w:rsid w:val="00FD62F5"/>
    <w:rsid w:val="00FE2428"/>
    <w:rsid w:val="00FF2077"/>
    <w:rsid w:val="00FF3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4DC17"/>
  <w15:docId w15:val="{9FD238C3-DB11-48AD-9673-58DF7CE9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35"/>
    <w:rPr>
      <w:sz w:val="24"/>
    </w:rPr>
  </w:style>
  <w:style w:type="paragraph" w:styleId="Heading1">
    <w:name w:val="heading 1"/>
    <w:basedOn w:val="Normal"/>
    <w:next w:val="Normal"/>
    <w:link w:val="Heading1Char"/>
    <w:uiPriority w:val="9"/>
    <w:qFormat/>
    <w:rsid w:val="00811A35"/>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811A35"/>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811A35"/>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811A35"/>
    <w:pPr>
      <w:keepNext/>
      <w:keepLines/>
      <w:spacing w:before="200" w:after="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811A35"/>
    <w:pPr>
      <w:keepNext/>
      <w:keepLines/>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A35"/>
    <w:rPr>
      <w:rFonts w:eastAsiaTheme="majorEastAsia" w:cstheme="majorBidi"/>
      <w:b/>
      <w:bCs/>
      <w:sz w:val="36"/>
      <w:szCs w:val="28"/>
    </w:rPr>
  </w:style>
  <w:style w:type="character" w:customStyle="1" w:styleId="Heading2Char">
    <w:name w:val="Heading 2 Char"/>
    <w:basedOn w:val="DefaultParagraphFont"/>
    <w:link w:val="Heading2"/>
    <w:uiPriority w:val="9"/>
    <w:rsid w:val="00811A35"/>
    <w:rPr>
      <w:rFonts w:eastAsiaTheme="majorEastAsia" w:cstheme="majorBidi"/>
      <w:b/>
      <w:bCs/>
      <w:sz w:val="32"/>
      <w:szCs w:val="26"/>
    </w:rPr>
  </w:style>
  <w:style w:type="character" w:customStyle="1" w:styleId="Heading3Char">
    <w:name w:val="Heading 3 Char"/>
    <w:basedOn w:val="DefaultParagraphFont"/>
    <w:link w:val="Heading3"/>
    <w:uiPriority w:val="9"/>
    <w:rsid w:val="00811A35"/>
    <w:rPr>
      <w:rFonts w:eastAsiaTheme="majorEastAsia" w:cstheme="majorBidi"/>
      <w:b/>
      <w:bCs/>
      <w:sz w:val="28"/>
    </w:rPr>
  </w:style>
  <w:style w:type="character" w:customStyle="1" w:styleId="Heading4Char">
    <w:name w:val="Heading 4 Char"/>
    <w:basedOn w:val="DefaultParagraphFont"/>
    <w:link w:val="Heading4"/>
    <w:uiPriority w:val="9"/>
    <w:rsid w:val="00811A35"/>
    <w:rPr>
      <w:rFonts w:eastAsiaTheme="majorEastAsia" w:cstheme="majorBidi"/>
      <w:b/>
      <w:bCs/>
      <w:iCs/>
      <w:sz w:val="26"/>
    </w:rPr>
  </w:style>
  <w:style w:type="character" w:customStyle="1" w:styleId="Heading5Char">
    <w:name w:val="Heading 5 Char"/>
    <w:basedOn w:val="DefaultParagraphFont"/>
    <w:link w:val="Heading5"/>
    <w:uiPriority w:val="9"/>
    <w:rsid w:val="00811A35"/>
    <w:rPr>
      <w:rFonts w:eastAsiaTheme="majorEastAsia" w:cstheme="majorBidi"/>
      <w:b/>
      <w:sz w:val="24"/>
    </w:rPr>
  </w:style>
  <w:style w:type="paragraph" w:styleId="Header">
    <w:name w:val="header"/>
    <w:basedOn w:val="Normal"/>
    <w:link w:val="HeaderChar"/>
    <w:uiPriority w:val="99"/>
    <w:unhideWhenUsed/>
    <w:rsid w:val="00811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A35"/>
    <w:rPr>
      <w:sz w:val="24"/>
    </w:rPr>
  </w:style>
  <w:style w:type="paragraph" w:styleId="Footer">
    <w:name w:val="footer"/>
    <w:basedOn w:val="Normal"/>
    <w:link w:val="FooterChar"/>
    <w:uiPriority w:val="99"/>
    <w:unhideWhenUsed/>
    <w:rsid w:val="00811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A35"/>
    <w:rPr>
      <w:sz w:val="24"/>
    </w:rPr>
  </w:style>
  <w:style w:type="paragraph" w:styleId="BalloonText">
    <w:name w:val="Balloon Text"/>
    <w:basedOn w:val="Normal"/>
    <w:link w:val="BalloonTextChar"/>
    <w:uiPriority w:val="99"/>
    <w:semiHidden/>
    <w:unhideWhenUsed/>
    <w:rsid w:val="00811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A35"/>
    <w:rPr>
      <w:rFonts w:ascii="Tahoma" w:hAnsi="Tahoma" w:cs="Tahoma"/>
      <w:sz w:val="16"/>
      <w:szCs w:val="16"/>
    </w:rPr>
  </w:style>
  <w:style w:type="paragraph" w:styleId="ListParagraph">
    <w:name w:val="List Paragraph"/>
    <w:basedOn w:val="Normal"/>
    <w:link w:val="ListParagraphChar"/>
    <w:uiPriority w:val="34"/>
    <w:qFormat/>
    <w:rsid w:val="00811A35"/>
    <w:pPr>
      <w:ind w:left="720"/>
      <w:contextualSpacing/>
    </w:pPr>
  </w:style>
  <w:style w:type="paragraph" w:customStyle="1" w:styleId="Bulletlist">
    <w:name w:val="Bullet list"/>
    <w:basedOn w:val="ListParagraph"/>
    <w:link w:val="BulletlistChar"/>
    <w:qFormat/>
    <w:rsid w:val="00811A35"/>
    <w:pPr>
      <w:numPr>
        <w:numId w:val="1"/>
      </w:numPr>
    </w:pPr>
  </w:style>
  <w:style w:type="paragraph" w:customStyle="1" w:styleId="Headers">
    <w:name w:val="Headers"/>
    <w:basedOn w:val="Header"/>
    <w:link w:val="HeadersChar"/>
    <w:rsid w:val="00CA5ED8"/>
    <w:rPr>
      <w:noProof/>
      <w:lang w:eastAsia="en-GB"/>
    </w:rPr>
  </w:style>
  <w:style w:type="character" w:customStyle="1" w:styleId="ListParagraphChar">
    <w:name w:val="List Paragraph Char"/>
    <w:basedOn w:val="DefaultParagraphFont"/>
    <w:link w:val="ListParagraph"/>
    <w:uiPriority w:val="34"/>
    <w:rsid w:val="00811A35"/>
    <w:rPr>
      <w:sz w:val="24"/>
    </w:rPr>
  </w:style>
  <w:style w:type="character" w:customStyle="1" w:styleId="BulletlistChar">
    <w:name w:val="Bullet list Char"/>
    <w:basedOn w:val="ListParagraphChar"/>
    <w:link w:val="Bulletlist"/>
    <w:rsid w:val="00811A35"/>
    <w:rPr>
      <w:sz w:val="24"/>
    </w:rPr>
  </w:style>
  <w:style w:type="character" w:styleId="PageNumber">
    <w:name w:val="page number"/>
    <w:basedOn w:val="DefaultParagraphFont"/>
    <w:uiPriority w:val="99"/>
    <w:unhideWhenUsed/>
    <w:rsid w:val="00CA5ED8"/>
  </w:style>
  <w:style w:type="character" w:customStyle="1" w:styleId="HeadersChar">
    <w:name w:val="Headers Char"/>
    <w:basedOn w:val="HeaderChar"/>
    <w:link w:val="Headers"/>
    <w:rsid w:val="00CA5ED8"/>
    <w:rPr>
      <w:noProof/>
      <w:sz w:val="24"/>
      <w:lang w:eastAsia="en-GB"/>
    </w:rPr>
  </w:style>
  <w:style w:type="paragraph" w:customStyle="1" w:styleId="Numberlist">
    <w:name w:val="Number list"/>
    <w:basedOn w:val="ListParagraph"/>
    <w:link w:val="NumberlistChar"/>
    <w:qFormat/>
    <w:rsid w:val="008B2514"/>
    <w:pPr>
      <w:numPr>
        <w:numId w:val="2"/>
      </w:numPr>
    </w:pPr>
  </w:style>
  <w:style w:type="character" w:customStyle="1" w:styleId="NumberlistChar">
    <w:name w:val="Number list Char"/>
    <w:basedOn w:val="ListParagraphChar"/>
    <w:link w:val="Numberlist"/>
    <w:rsid w:val="008B2514"/>
    <w:rPr>
      <w:sz w:val="24"/>
    </w:rPr>
  </w:style>
  <w:style w:type="table" w:styleId="TableGrid">
    <w:name w:val="Table Grid"/>
    <w:basedOn w:val="TableNormal"/>
    <w:uiPriority w:val="59"/>
    <w:rsid w:val="00A84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4B7D"/>
    <w:rPr>
      <w:rFonts w:ascii="Times New Roman" w:hAnsi="Times New Roman" w:cs="Times New Roman"/>
      <w:szCs w:val="24"/>
    </w:rPr>
  </w:style>
  <w:style w:type="character" w:styleId="Hyperlink">
    <w:name w:val="Hyperlink"/>
    <w:basedOn w:val="DefaultParagraphFont"/>
    <w:uiPriority w:val="99"/>
    <w:semiHidden/>
    <w:unhideWhenUsed/>
    <w:rsid w:val="007443C2"/>
    <w:rPr>
      <w:color w:val="0000FF" w:themeColor="hyperlink"/>
      <w:u w:val="single"/>
    </w:rPr>
  </w:style>
  <w:style w:type="paragraph" w:styleId="ListBullet">
    <w:name w:val="List Bullet"/>
    <w:basedOn w:val="BodyText"/>
    <w:uiPriority w:val="14"/>
    <w:semiHidden/>
    <w:unhideWhenUsed/>
    <w:qFormat/>
    <w:rsid w:val="007443C2"/>
    <w:pPr>
      <w:numPr>
        <w:numId w:val="5"/>
      </w:numPr>
      <w:tabs>
        <w:tab w:val="clear" w:pos="2149"/>
        <w:tab w:val="num" w:pos="360"/>
      </w:tabs>
      <w:spacing w:after="50" w:line="360" w:lineRule="atLeast"/>
      <w:ind w:left="0" w:firstLine="0"/>
    </w:pPr>
    <w:rPr>
      <w:rFonts w:cstheme="minorBidi"/>
      <w:color w:val="231F20"/>
      <w:szCs w:val="24"/>
    </w:rPr>
  </w:style>
  <w:style w:type="paragraph" w:styleId="ListBullet2">
    <w:name w:val="List Bullet 2"/>
    <w:basedOn w:val="BodyText"/>
    <w:uiPriority w:val="14"/>
    <w:semiHidden/>
    <w:unhideWhenUsed/>
    <w:qFormat/>
    <w:rsid w:val="007443C2"/>
    <w:pPr>
      <w:numPr>
        <w:ilvl w:val="1"/>
        <w:numId w:val="5"/>
      </w:numPr>
      <w:tabs>
        <w:tab w:val="clear" w:pos="2716"/>
        <w:tab w:val="num" w:pos="360"/>
      </w:tabs>
      <w:spacing w:after="50" w:line="360" w:lineRule="atLeast"/>
      <w:ind w:left="0" w:firstLine="0"/>
    </w:pPr>
    <w:rPr>
      <w:rFonts w:cstheme="minorBidi"/>
      <w:color w:val="231F20"/>
      <w:szCs w:val="24"/>
    </w:rPr>
  </w:style>
  <w:style w:type="paragraph" w:styleId="ListBullet3">
    <w:name w:val="List Bullet 3"/>
    <w:basedOn w:val="BodyText"/>
    <w:uiPriority w:val="99"/>
    <w:semiHidden/>
    <w:unhideWhenUsed/>
    <w:qFormat/>
    <w:rsid w:val="007443C2"/>
    <w:pPr>
      <w:numPr>
        <w:ilvl w:val="2"/>
        <w:numId w:val="5"/>
      </w:numPr>
      <w:tabs>
        <w:tab w:val="clear" w:pos="2654"/>
        <w:tab w:val="num" w:pos="360"/>
      </w:tabs>
      <w:spacing w:after="280" w:line="360" w:lineRule="atLeast"/>
      <w:ind w:left="0" w:firstLine="0"/>
      <w:contextualSpacing/>
    </w:pPr>
    <w:rPr>
      <w:rFonts w:cstheme="minorBidi"/>
      <w:color w:val="231F20"/>
      <w:szCs w:val="24"/>
    </w:rPr>
  </w:style>
  <w:style w:type="paragraph" w:styleId="ListBullet4">
    <w:name w:val="List Bullet 4"/>
    <w:basedOn w:val="BodyText"/>
    <w:uiPriority w:val="99"/>
    <w:semiHidden/>
    <w:unhideWhenUsed/>
    <w:rsid w:val="007443C2"/>
    <w:pPr>
      <w:numPr>
        <w:ilvl w:val="3"/>
        <w:numId w:val="5"/>
      </w:numPr>
      <w:tabs>
        <w:tab w:val="clear" w:pos="3011"/>
        <w:tab w:val="num" w:pos="360"/>
      </w:tabs>
      <w:spacing w:after="280" w:line="360" w:lineRule="atLeast"/>
      <w:ind w:left="0" w:firstLine="0"/>
      <w:contextualSpacing/>
    </w:pPr>
    <w:rPr>
      <w:rFonts w:cstheme="minorBidi"/>
      <w:color w:val="231F20"/>
      <w:szCs w:val="24"/>
    </w:rPr>
  </w:style>
  <w:style w:type="paragraph" w:styleId="ListBullet5">
    <w:name w:val="List Bullet 5"/>
    <w:basedOn w:val="BodyText"/>
    <w:uiPriority w:val="99"/>
    <w:semiHidden/>
    <w:unhideWhenUsed/>
    <w:rsid w:val="007443C2"/>
    <w:pPr>
      <w:numPr>
        <w:ilvl w:val="4"/>
        <w:numId w:val="5"/>
      </w:numPr>
      <w:tabs>
        <w:tab w:val="clear" w:pos="3368"/>
        <w:tab w:val="num" w:pos="360"/>
      </w:tabs>
      <w:spacing w:after="280" w:line="360" w:lineRule="atLeast"/>
      <w:ind w:left="0" w:firstLine="0"/>
      <w:contextualSpacing/>
    </w:pPr>
    <w:rPr>
      <w:rFonts w:cstheme="minorBidi"/>
      <w:color w:val="231F20"/>
      <w:szCs w:val="24"/>
    </w:rPr>
  </w:style>
  <w:style w:type="numbering" w:customStyle="1" w:styleId="NHSBullets">
    <w:name w:val="NHS Bullets"/>
    <w:uiPriority w:val="99"/>
    <w:rsid w:val="007443C2"/>
    <w:pPr>
      <w:numPr>
        <w:numId w:val="5"/>
      </w:numPr>
    </w:pPr>
  </w:style>
  <w:style w:type="paragraph" w:styleId="BodyText">
    <w:name w:val="Body Text"/>
    <w:basedOn w:val="Normal"/>
    <w:link w:val="BodyTextChar"/>
    <w:uiPriority w:val="99"/>
    <w:semiHidden/>
    <w:unhideWhenUsed/>
    <w:rsid w:val="007443C2"/>
    <w:pPr>
      <w:spacing w:after="120"/>
    </w:pPr>
  </w:style>
  <w:style w:type="character" w:customStyle="1" w:styleId="BodyTextChar">
    <w:name w:val="Body Text Char"/>
    <w:basedOn w:val="DefaultParagraphFont"/>
    <w:link w:val="BodyText"/>
    <w:uiPriority w:val="99"/>
    <w:semiHidden/>
    <w:rsid w:val="007443C2"/>
    <w:rPr>
      <w:sz w:val="24"/>
    </w:rPr>
  </w:style>
  <w:style w:type="paragraph" w:customStyle="1" w:styleId="TableParagraph">
    <w:name w:val="Table Paragraph"/>
    <w:basedOn w:val="Normal"/>
    <w:uiPriority w:val="1"/>
    <w:qFormat/>
    <w:rsid w:val="00846321"/>
    <w:pPr>
      <w:widowControl w:val="0"/>
      <w:autoSpaceDE w:val="0"/>
      <w:autoSpaceDN w:val="0"/>
      <w:spacing w:after="0" w:line="240" w:lineRule="auto"/>
      <w:ind w:left="107"/>
    </w:pPr>
    <w:rPr>
      <w:rFonts w:eastAsia="Arial"/>
      <w:sz w:val="22"/>
      <w:lang w:val="en-US"/>
    </w:rPr>
  </w:style>
  <w:style w:type="character" w:styleId="CommentReference">
    <w:name w:val="annotation reference"/>
    <w:basedOn w:val="DefaultParagraphFont"/>
    <w:uiPriority w:val="99"/>
    <w:semiHidden/>
    <w:unhideWhenUsed/>
    <w:rsid w:val="00A2047F"/>
    <w:rPr>
      <w:sz w:val="16"/>
      <w:szCs w:val="16"/>
    </w:rPr>
  </w:style>
  <w:style w:type="paragraph" w:styleId="CommentText">
    <w:name w:val="annotation text"/>
    <w:basedOn w:val="Normal"/>
    <w:link w:val="CommentTextChar"/>
    <w:uiPriority w:val="99"/>
    <w:unhideWhenUsed/>
    <w:rsid w:val="00A2047F"/>
    <w:pPr>
      <w:spacing w:line="240" w:lineRule="auto"/>
    </w:pPr>
    <w:rPr>
      <w:sz w:val="20"/>
      <w:szCs w:val="20"/>
    </w:rPr>
  </w:style>
  <w:style w:type="character" w:customStyle="1" w:styleId="CommentTextChar">
    <w:name w:val="Comment Text Char"/>
    <w:basedOn w:val="DefaultParagraphFont"/>
    <w:link w:val="CommentText"/>
    <w:uiPriority w:val="99"/>
    <w:rsid w:val="00A2047F"/>
    <w:rPr>
      <w:sz w:val="20"/>
      <w:szCs w:val="20"/>
    </w:rPr>
  </w:style>
  <w:style w:type="paragraph" w:styleId="CommentSubject">
    <w:name w:val="annotation subject"/>
    <w:basedOn w:val="CommentText"/>
    <w:next w:val="CommentText"/>
    <w:link w:val="CommentSubjectChar"/>
    <w:uiPriority w:val="99"/>
    <w:semiHidden/>
    <w:unhideWhenUsed/>
    <w:rsid w:val="00A2047F"/>
    <w:rPr>
      <w:b/>
      <w:bCs/>
    </w:rPr>
  </w:style>
  <w:style w:type="character" w:customStyle="1" w:styleId="CommentSubjectChar">
    <w:name w:val="Comment Subject Char"/>
    <w:basedOn w:val="CommentTextChar"/>
    <w:link w:val="CommentSubject"/>
    <w:uiPriority w:val="99"/>
    <w:semiHidden/>
    <w:rsid w:val="00A204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79738">
      <w:bodyDiv w:val="1"/>
      <w:marLeft w:val="0"/>
      <w:marRight w:val="0"/>
      <w:marTop w:val="0"/>
      <w:marBottom w:val="0"/>
      <w:divBdr>
        <w:top w:val="none" w:sz="0" w:space="0" w:color="auto"/>
        <w:left w:val="none" w:sz="0" w:space="0" w:color="auto"/>
        <w:bottom w:val="none" w:sz="0" w:space="0" w:color="auto"/>
        <w:right w:val="none" w:sz="0" w:space="0" w:color="auto"/>
      </w:divBdr>
    </w:div>
    <w:div w:id="1510757715">
      <w:bodyDiv w:val="1"/>
      <w:marLeft w:val="0"/>
      <w:marRight w:val="0"/>
      <w:marTop w:val="0"/>
      <w:marBottom w:val="0"/>
      <w:divBdr>
        <w:top w:val="none" w:sz="0" w:space="0" w:color="auto"/>
        <w:left w:val="none" w:sz="0" w:space="0" w:color="auto"/>
        <w:bottom w:val="none" w:sz="0" w:space="0" w:color="auto"/>
        <w:right w:val="none" w:sz="0" w:space="0" w:color="auto"/>
      </w:divBdr>
    </w:div>
    <w:div w:id="1969432177">
      <w:bodyDiv w:val="1"/>
      <w:marLeft w:val="0"/>
      <w:marRight w:val="0"/>
      <w:marTop w:val="0"/>
      <w:marBottom w:val="0"/>
      <w:divBdr>
        <w:top w:val="none" w:sz="0" w:space="0" w:color="auto"/>
        <w:left w:val="none" w:sz="0" w:space="0" w:color="auto"/>
        <w:bottom w:val="none" w:sz="0" w:space="0" w:color="auto"/>
        <w:right w:val="none" w:sz="0" w:space="0" w:color="auto"/>
      </w:divBdr>
    </w:div>
    <w:div w:id="207566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cashireandsouthcumbria.icb.nhs.uk/about-us/publications/strategies-and-plans/infrastructure-strategy-2024-2040" TargetMode="External"/><Relationship Id="rId5" Type="http://schemas.openxmlformats.org/officeDocument/2006/relationships/numbering" Target="numbering.xml"/><Relationship Id="rId15" Type="http://schemas.openxmlformats.org/officeDocument/2006/relationships/hyperlink" Target="https://www.lancashireandsouthcumbria.icb.nhs.uk/GreenerNHS/greenpla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publication/the-efficient-management-of-healthcare-estates-and-facilities-hbn-00-08/"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botl1\OneDrive%20-%20NHS\Downloads\02-Board-Report-Template-Master-_V2_May-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7cfe0df-5956-4372-8bcd-77ed20f22f20">
      <Terms xmlns="http://schemas.microsoft.com/office/infopath/2007/PartnerControls"/>
    </lcf76f155ced4ddcb4097134ff3c332f>
    <TaxCatchAll xmlns="5830566c-5530-4cd1-aa3e-3d53a1ffd2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0E4A60F9C18F4DBC60B0ED03D34A49" ma:contentTypeVersion="15" ma:contentTypeDescription="Create a new document." ma:contentTypeScope="" ma:versionID="1e151a8b9256d542b074defef03a1a49">
  <xsd:schema xmlns:xsd="http://www.w3.org/2001/XMLSchema" xmlns:xs="http://www.w3.org/2001/XMLSchema" xmlns:p="http://schemas.microsoft.com/office/2006/metadata/properties" xmlns:ns1="http://schemas.microsoft.com/sharepoint/v3" xmlns:ns2="17cfe0df-5956-4372-8bcd-77ed20f22f20" xmlns:ns3="5830566c-5530-4cd1-aa3e-3d53a1ffd281" targetNamespace="http://schemas.microsoft.com/office/2006/metadata/properties" ma:root="true" ma:fieldsID="92d39ebf2c200715c7b427e05bbdc90c" ns1:_="" ns2:_="" ns3:_="">
    <xsd:import namespace="http://schemas.microsoft.com/sharepoint/v3"/>
    <xsd:import namespace="17cfe0df-5956-4372-8bcd-77ed20f22f20"/>
    <xsd:import namespace="5830566c-5530-4cd1-aa3e-3d53a1ffd2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cfe0df-5956-4372-8bcd-77ed20f22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0566c-5530-4cd1-aa3e-3d53a1ffd2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a65e42-8015-4870-b03b-ecc922b1c3e7}" ma:internalName="TaxCatchAll" ma:showField="CatchAllData" ma:web="5830566c-5530-4cd1-aa3e-3d53a1ffd28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3CD3A-603A-4502-B7A0-1EB40F2DD3B5}">
  <ds:schemaRefs>
    <ds:schemaRef ds:uri="http://schemas.microsoft.com/sharepoint/v3/contenttype/forms"/>
  </ds:schemaRefs>
</ds:datastoreItem>
</file>

<file path=customXml/itemProps2.xml><?xml version="1.0" encoding="utf-8"?>
<ds:datastoreItem xmlns:ds="http://schemas.openxmlformats.org/officeDocument/2006/customXml" ds:itemID="{BBC53A99-B244-475C-828B-1C30E4E139CA}">
  <ds:schemaRefs>
    <ds:schemaRef ds:uri="http://schemas.openxmlformats.org/officeDocument/2006/bibliography"/>
  </ds:schemaRefs>
</ds:datastoreItem>
</file>

<file path=customXml/itemProps3.xml><?xml version="1.0" encoding="utf-8"?>
<ds:datastoreItem xmlns:ds="http://schemas.openxmlformats.org/officeDocument/2006/customXml" ds:itemID="{CB1CF100-9A92-4F6A-9C22-565561BB602A}">
  <ds:schemaRefs>
    <ds:schemaRef ds:uri="http://schemas.microsoft.com/office/2006/metadata/properties"/>
    <ds:schemaRef ds:uri="http://schemas.microsoft.com/office/infopath/2007/PartnerControls"/>
    <ds:schemaRef ds:uri="http://schemas.microsoft.com/sharepoint/v3"/>
    <ds:schemaRef ds:uri="17cfe0df-5956-4372-8bcd-77ed20f22f20"/>
    <ds:schemaRef ds:uri="5830566c-5530-4cd1-aa3e-3d53a1ffd281"/>
  </ds:schemaRefs>
</ds:datastoreItem>
</file>

<file path=customXml/itemProps4.xml><?xml version="1.0" encoding="utf-8"?>
<ds:datastoreItem xmlns:ds="http://schemas.openxmlformats.org/officeDocument/2006/customXml" ds:itemID="{96D697F8-1B93-438B-A790-00B0F439C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cfe0df-5956-4372-8bcd-77ed20f22f20"/>
    <ds:schemaRef ds:uri="5830566c-5530-4cd1-aa3e-3d53a1ffd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02-Board-Report-Template-Master-_V2_May-2023</Template>
  <TotalTime>2</TotalTime>
  <Pages>1</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BFW Hospitals NHS Foundation Trust</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Louise (BCCG)</dc:creator>
  <cp:lastModifiedBy>JONES, Gareth (NHS LANCASHIRE AND SOUTH CUMBRIA INTEGRATED CARE BOARD)</cp:lastModifiedBy>
  <cp:revision>2</cp:revision>
  <dcterms:created xsi:type="dcterms:W3CDTF">2024-07-22T08:29:00Z</dcterms:created>
  <dcterms:modified xsi:type="dcterms:W3CDTF">2024-07-22T08:29:00Z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0x010100D9CD6B83B4635A49A316482072E0D62F</vt:lpwstr>
  </property>
  <property fmtid="{D5CDD505-2E9C-101B-9397-08002B2CF9AE}" pid="3" name="MediaServiceImageTags">
    <vt:lpwstr/>
  </property>
</Properties>
</file>