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519033F7" w:rsidR="00762EA1" w:rsidRDefault="000D4CDC" w:rsidP="005D255C">
            <w:pPr>
              <w:spacing w:before="0" w:after="0"/>
            </w:pPr>
            <w:r>
              <w:t>Health &amp; Wellbeing Board</w:t>
            </w:r>
          </w:p>
        </w:tc>
        <w:tc>
          <w:tcPr>
            <w:tcW w:w="1411" w:type="dxa"/>
          </w:tcPr>
          <w:p w14:paraId="541A5A51" w14:textId="7B57E2C0" w:rsidR="00762EA1" w:rsidRDefault="000D4CDC" w:rsidP="005D255C">
            <w:pPr>
              <w:spacing w:before="0" w:after="0"/>
            </w:pPr>
            <w:r>
              <w:t>03.09.24</w:t>
            </w:r>
          </w:p>
        </w:tc>
        <w:tc>
          <w:tcPr>
            <w:tcW w:w="2549" w:type="dxa"/>
          </w:tcPr>
          <w:p w14:paraId="1207C90B" w14:textId="20B7D453" w:rsidR="00762EA1" w:rsidRDefault="000D4CDC" w:rsidP="005D255C">
            <w:pPr>
              <w:spacing w:before="0" w:after="0"/>
            </w:pPr>
            <w:r>
              <w:t>Teri Stephenson</w:t>
            </w:r>
          </w:p>
        </w:tc>
        <w:tc>
          <w:tcPr>
            <w:tcW w:w="2560" w:type="dxa"/>
          </w:tcPr>
          <w:p w14:paraId="4FB868E3" w14:textId="424B4463" w:rsidR="000C1F31" w:rsidRDefault="000D4CDC" w:rsidP="005D255C">
            <w:pPr>
              <w:spacing w:before="0" w:after="0"/>
            </w:pPr>
            <w:r>
              <w:t xml:space="preserve">Age UK </w:t>
            </w:r>
            <w:proofErr w:type="spellStart"/>
            <w:r>
              <w:t>lancashire</w:t>
            </w:r>
            <w:proofErr w:type="spellEnd"/>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6CC82D41" w:rsidR="00D36ED0" w:rsidRDefault="00D36ED0" w:rsidP="007F7455">
            <w:pPr>
              <w:spacing w:after="0"/>
            </w:pPr>
            <w:r>
              <w:t xml:space="preserve">Yes </w:t>
            </w:r>
          </w:p>
        </w:tc>
        <w:tc>
          <w:tcPr>
            <w:tcW w:w="5109" w:type="dxa"/>
            <w:gridSpan w:val="2"/>
          </w:tcPr>
          <w:p w14:paraId="1CD366C6" w14:textId="5A38E2E9" w:rsidR="00D36ED0" w:rsidRDefault="000D4CDC" w:rsidP="007F7455">
            <w:pPr>
              <w:spacing w:after="0"/>
            </w:pPr>
            <w:r>
              <w:t xml:space="preserve">Agenda &amp; Papers; </w:t>
            </w:r>
            <w:hyperlink r:id="rId13" w:history="1">
              <w:r w:rsidRPr="000D4CDC">
                <w:rPr>
                  <w:color w:val="0000FF"/>
                  <w:sz w:val="24"/>
                  <w:u w:val="single"/>
                </w:rPr>
                <w:t>Council - Agenda for Lancashire Health and Wellbeing Board on Tuesday, 3rd September, 2024, 2.15 pm</w:t>
              </w:r>
            </w:hyperlink>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368E9486" w14:textId="7E3942D3" w:rsidR="00B25D61" w:rsidRPr="005C3E2A" w:rsidRDefault="000D4CDC" w:rsidP="005C3E2A">
            <w:pPr>
              <w:pStyle w:val="ListParagraph"/>
              <w:numPr>
                <w:ilvl w:val="0"/>
                <w:numId w:val="20"/>
              </w:numPr>
              <w:spacing w:before="120" w:after="0"/>
              <w:rPr>
                <w:color w:val="272359" w:themeColor="text1"/>
                <w:szCs w:val="28"/>
              </w:rPr>
            </w:pPr>
            <w:r w:rsidRPr="005C3E2A">
              <w:rPr>
                <w:color w:val="272359" w:themeColor="text1"/>
              </w:rPr>
              <w:t>Better Care Fund, an update on the ongoing review and to approve the BCF Q1 submission.</w:t>
            </w:r>
            <w:r w:rsidR="005C3E2A" w:rsidRPr="005C3E2A">
              <w:rPr>
                <w:color w:val="272359" w:themeColor="text1"/>
              </w:rPr>
              <w:t xml:space="preserve"> </w:t>
            </w:r>
          </w:p>
          <w:p w14:paraId="52299F6F" w14:textId="77777777" w:rsidR="000D4CDC" w:rsidRDefault="000D4CDC" w:rsidP="000D4CDC">
            <w:pPr>
              <w:pStyle w:val="ListParagraph"/>
              <w:numPr>
                <w:ilvl w:val="0"/>
                <w:numId w:val="20"/>
              </w:numPr>
              <w:spacing w:before="120" w:after="0"/>
              <w:rPr>
                <w:color w:val="272359" w:themeColor="text1"/>
              </w:rPr>
            </w:pPr>
            <w:r>
              <w:rPr>
                <w:color w:val="272359" w:themeColor="text1"/>
              </w:rPr>
              <w:t xml:space="preserve">Urgent &amp; Emergency Care – </w:t>
            </w:r>
            <w:proofErr w:type="gramStart"/>
            <w:r>
              <w:rPr>
                <w:color w:val="272359" w:themeColor="text1"/>
              </w:rPr>
              <w:t>5 year</w:t>
            </w:r>
            <w:proofErr w:type="gramEnd"/>
            <w:r>
              <w:rPr>
                <w:color w:val="272359" w:themeColor="text1"/>
              </w:rPr>
              <w:t xml:space="preserve"> strategy</w:t>
            </w:r>
          </w:p>
          <w:p w14:paraId="3097829E" w14:textId="353E8112" w:rsidR="000D4CDC" w:rsidRDefault="000D4CDC" w:rsidP="000D4CDC">
            <w:pPr>
              <w:pStyle w:val="ListParagraph"/>
              <w:numPr>
                <w:ilvl w:val="0"/>
                <w:numId w:val="20"/>
              </w:numPr>
              <w:spacing w:before="120" w:after="0"/>
              <w:rPr>
                <w:color w:val="272359" w:themeColor="text1"/>
              </w:rPr>
            </w:pPr>
            <w:r>
              <w:rPr>
                <w:color w:val="272359" w:themeColor="text1"/>
              </w:rPr>
              <w:t xml:space="preserve">Housing with Care update – this paper included an update on the Disabled Facilities Grant </w:t>
            </w:r>
            <w:r w:rsidR="005C3E2A">
              <w:rPr>
                <w:color w:val="272359" w:themeColor="text1"/>
              </w:rPr>
              <w:t>(</w:t>
            </w:r>
            <w:r>
              <w:rPr>
                <w:color w:val="272359" w:themeColor="text1"/>
              </w:rPr>
              <w:t xml:space="preserve">and it’s frustrating to note that the </w:t>
            </w:r>
            <w:proofErr w:type="spellStart"/>
            <w:r w:rsidR="005C3E2A">
              <w:rPr>
                <w:color w:val="272359" w:themeColor="text1"/>
              </w:rPr>
              <w:t>silo’d</w:t>
            </w:r>
            <w:proofErr w:type="spellEnd"/>
            <w:r>
              <w:rPr>
                <w:color w:val="272359" w:themeColor="text1"/>
              </w:rPr>
              <w:t xml:space="preserve"> approaches still being taken between health &amp; local authorities retains an inefficiency in how things work for people in need.</w:t>
            </w:r>
            <w:r w:rsidR="005C3E2A">
              <w:rPr>
                <w:color w:val="272359" w:themeColor="text1"/>
              </w:rPr>
              <w:t>)</w:t>
            </w:r>
          </w:p>
          <w:p w14:paraId="77C28291" w14:textId="2394014A" w:rsidR="000D4CDC" w:rsidRPr="000D4CDC" w:rsidRDefault="000D4CDC" w:rsidP="000D4CDC">
            <w:pPr>
              <w:pStyle w:val="ListParagraph"/>
              <w:numPr>
                <w:ilvl w:val="0"/>
                <w:numId w:val="20"/>
              </w:numPr>
              <w:spacing w:before="120" w:after="0"/>
              <w:rPr>
                <w:color w:val="272359" w:themeColor="text1"/>
              </w:rPr>
            </w:pPr>
            <w:r>
              <w:rPr>
                <w:color w:val="272359" w:themeColor="text1"/>
              </w:rPr>
              <w:t>Tackling Gambling related harm in Lancashire</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5D09CAA6" w14:textId="25509D53" w:rsidR="005C3E2A" w:rsidRDefault="005C3E2A" w:rsidP="005C3E2A">
            <w:pPr>
              <w:spacing w:after="0"/>
              <w:rPr>
                <w:szCs w:val="28"/>
              </w:rPr>
            </w:pPr>
            <w:r w:rsidRPr="005C3E2A">
              <w:rPr>
                <w:b/>
                <w:bCs/>
                <w:szCs w:val="28"/>
              </w:rPr>
              <w:t>BCF</w:t>
            </w:r>
            <w:r>
              <w:rPr>
                <w:szCs w:val="28"/>
              </w:rPr>
              <w:t xml:space="preserve"> - </w:t>
            </w:r>
            <w:r w:rsidR="000D4CDC" w:rsidRPr="000D4CDC">
              <w:rPr>
                <w:szCs w:val="28"/>
              </w:rPr>
              <w:t>Implications of the BCF and the ongoing review being done by external consultants on the VCFSE is not yet known.</w:t>
            </w:r>
            <w:r w:rsidR="000D4CDC">
              <w:rPr>
                <w:szCs w:val="28"/>
              </w:rPr>
              <w:t xml:space="preserve">  I will of course update when this review is completed.</w:t>
            </w:r>
            <w:r>
              <w:rPr>
                <w:szCs w:val="28"/>
              </w:rPr>
              <w:t xml:space="preserve">  The 24/25 BCF plan has not yet been signed off whilst external facilitation takes place between NHS and LCC re the NHS additional contribution to adult social care.  The ongoing review into the BCF includes leadership and governance.  I asked if there was a VCFSE rep on the BCF Board and there isn’t, which the review should pick up and address.</w:t>
            </w:r>
          </w:p>
          <w:p w14:paraId="221BA0EB" w14:textId="5BB0358B" w:rsidR="005C3E2A" w:rsidRDefault="005C3E2A" w:rsidP="005D255C">
            <w:pPr>
              <w:spacing w:after="0"/>
              <w:rPr>
                <w:szCs w:val="28"/>
              </w:rPr>
            </w:pPr>
          </w:p>
          <w:p w14:paraId="768EC68B" w14:textId="77777777" w:rsidR="000D4CDC" w:rsidRDefault="000D4CDC" w:rsidP="005D255C">
            <w:pPr>
              <w:spacing w:after="0"/>
              <w:rPr>
                <w:szCs w:val="28"/>
              </w:rPr>
            </w:pPr>
            <w:r>
              <w:rPr>
                <w:szCs w:val="28"/>
              </w:rPr>
              <w:t xml:space="preserve">The </w:t>
            </w:r>
            <w:r w:rsidRPr="005C3E2A">
              <w:rPr>
                <w:b/>
                <w:bCs/>
                <w:szCs w:val="28"/>
              </w:rPr>
              <w:t>tackling gambling related harm presentation</w:t>
            </w:r>
            <w:r w:rsidR="005C3E2A">
              <w:rPr>
                <w:szCs w:val="28"/>
              </w:rPr>
              <w:t xml:space="preserve"> (from </w:t>
            </w:r>
            <w:hyperlink r:id="rId14" w:history="1">
              <w:r w:rsidR="005C3E2A" w:rsidRPr="005C3E2A">
                <w:rPr>
                  <w:rStyle w:val="Hyperlink"/>
                  <w:szCs w:val="28"/>
                </w:rPr>
                <w:t>About Us - Beacon Counselling Trust</w:t>
              </w:r>
            </w:hyperlink>
            <w:r w:rsidR="005C3E2A">
              <w:rPr>
                <w:szCs w:val="28"/>
              </w:rPr>
              <w:t xml:space="preserve">) </w:t>
            </w:r>
            <w:r>
              <w:rPr>
                <w:szCs w:val="28"/>
              </w:rPr>
              <w:t xml:space="preserve"> included a powerful presentation by a gambler and the impact on his life.  The issue for our sector is to consider taking advantage of their training and resources, to raise awareness of this issue, which is more prevalent than most people think. </w:t>
            </w:r>
            <w:hyperlink r:id="rId15" w:history="1">
              <w:r w:rsidR="005C3E2A" w:rsidRPr="005C3E2A">
                <w:rPr>
                  <w:rStyle w:val="Hyperlink"/>
                  <w:szCs w:val="28"/>
                </w:rPr>
                <w:t xml:space="preserve">Bet You Can Help Programme - </w:t>
              </w:r>
              <w:r w:rsidR="005C3E2A" w:rsidRPr="005C3E2A">
                <w:rPr>
                  <w:rStyle w:val="Hyperlink"/>
                  <w:szCs w:val="28"/>
                </w:rPr>
                <w:lastRenderedPageBreak/>
                <w:t>Beacon Counselling Trust</w:t>
              </w:r>
            </w:hyperlink>
            <w:r>
              <w:rPr>
                <w:szCs w:val="28"/>
              </w:rPr>
              <w:t xml:space="preserve"> They are encouraging everyone to think about adapting policies to include gambling related harm alongside alcohol and drugs.  There is also a charter to sign showing your commitment to this work.</w:t>
            </w:r>
            <w:r w:rsidR="005C3E2A" w:rsidRPr="005C3E2A">
              <w:rPr>
                <w:color w:val="auto"/>
                <w:sz w:val="24"/>
              </w:rPr>
              <w:t xml:space="preserve"> </w:t>
            </w:r>
            <w:hyperlink r:id="rId16" w:history="1">
              <w:r w:rsidR="005C3E2A" w:rsidRPr="005C3E2A">
                <w:rPr>
                  <w:rStyle w:val="Hyperlink"/>
                  <w:szCs w:val="28"/>
                </w:rPr>
                <w:t>Workplace Charter - Beacon Counselling Trust</w:t>
              </w:r>
            </w:hyperlink>
          </w:p>
          <w:p w14:paraId="33A724FC" w14:textId="77777777" w:rsidR="005C3E2A" w:rsidRDefault="005C3E2A" w:rsidP="005D255C">
            <w:pPr>
              <w:spacing w:after="0"/>
              <w:rPr>
                <w:szCs w:val="28"/>
              </w:rPr>
            </w:pPr>
          </w:p>
          <w:p w14:paraId="0D48B107" w14:textId="0477E53E" w:rsidR="005C3E2A" w:rsidRPr="000D4CDC" w:rsidRDefault="005C3E2A" w:rsidP="005D255C">
            <w:pPr>
              <w:spacing w:after="0"/>
              <w:rPr>
                <w:szCs w:val="28"/>
              </w:rPr>
            </w:pPr>
            <w:r w:rsidRPr="005C3E2A">
              <w:rPr>
                <w:b/>
                <w:bCs/>
                <w:szCs w:val="28"/>
              </w:rPr>
              <w:t>Data</w:t>
            </w:r>
            <w:r>
              <w:rPr>
                <w:szCs w:val="28"/>
              </w:rPr>
              <w:t xml:space="preserve"> – There was a discussion about data and the need for NHS and LCC to align data, reporting and the terminology used.  I asked if the VCFSE could be included in that work as there are implications for all of us as they develop reporting and terminology.</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lastRenderedPageBreak/>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40F3BD25" w:rsidR="000C1F31" w:rsidRDefault="005C3E2A" w:rsidP="005D255C">
            <w:pPr>
              <w:spacing w:after="0"/>
              <w:rPr>
                <w:b/>
                <w:bCs/>
                <w:szCs w:val="28"/>
              </w:rPr>
            </w:pPr>
            <w:r>
              <w:rPr>
                <w:b/>
                <w:bCs/>
                <w:szCs w:val="28"/>
              </w:rPr>
              <w:t>N/A</w:t>
            </w: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65F2B572" w:rsidR="000C1F31" w:rsidRPr="005C3E2A" w:rsidRDefault="005C3E2A" w:rsidP="005D255C">
            <w:pPr>
              <w:spacing w:after="0"/>
              <w:rPr>
                <w:szCs w:val="28"/>
              </w:rPr>
            </w:pPr>
            <w:r w:rsidRPr="005C3E2A">
              <w:rPr>
                <w:szCs w:val="28"/>
              </w:rPr>
              <w:t>12</w:t>
            </w:r>
            <w:r w:rsidRPr="005C3E2A">
              <w:rPr>
                <w:szCs w:val="28"/>
                <w:vertAlign w:val="superscript"/>
              </w:rPr>
              <w:t>th</w:t>
            </w:r>
            <w:r w:rsidRPr="005C3E2A">
              <w:rPr>
                <w:szCs w:val="28"/>
              </w:rPr>
              <w:t xml:space="preserve"> November 2.15pm, Committee </w:t>
            </w:r>
            <w:proofErr w:type="spellStart"/>
            <w:r w:rsidRPr="005C3E2A">
              <w:rPr>
                <w:szCs w:val="28"/>
              </w:rPr>
              <w:t>RoomC</w:t>
            </w:r>
            <w:proofErr w:type="spellEnd"/>
            <w:r w:rsidRPr="005C3E2A">
              <w:rPr>
                <w:szCs w:val="28"/>
              </w:rPr>
              <w:t>, County Hall Preston.</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7"/>
      <w:footerReference w:type="default" r:id="rId18"/>
      <w:headerReference w:type="first" r:id="rId19"/>
      <w:footerReference w:type="first" r:id="rId20"/>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62E8D3"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7ADE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B3F62"/>
    <w:multiLevelType w:val="hybridMultilevel"/>
    <w:tmpl w:val="B19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4"/>
  </w:num>
  <w:num w:numId="2" w16cid:durableId="2134206089">
    <w:abstractNumId w:val="16"/>
  </w:num>
  <w:num w:numId="3" w16cid:durableId="1277054901">
    <w:abstractNumId w:val="12"/>
  </w:num>
  <w:num w:numId="4" w16cid:durableId="204102960">
    <w:abstractNumId w:val="11"/>
  </w:num>
  <w:num w:numId="5" w16cid:durableId="1576210401">
    <w:abstractNumId w:val="18"/>
  </w:num>
  <w:num w:numId="6" w16cid:durableId="1189610023">
    <w:abstractNumId w:val="17"/>
  </w:num>
  <w:num w:numId="7" w16cid:durableId="4020707">
    <w:abstractNumId w:val="19"/>
  </w:num>
  <w:num w:numId="8" w16cid:durableId="1963533787">
    <w:abstractNumId w:val="15"/>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 w:numId="20" w16cid:durableId="1857882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931E5"/>
    <w:rsid w:val="000C1F31"/>
    <w:rsid w:val="000C1FF9"/>
    <w:rsid w:val="000D4CDC"/>
    <w:rsid w:val="000E4416"/>
    <w:rsid w:val="001534E5"/>
    <w:rsid w:val="00184D91"/>
    <w:rsid w:val="0029011A"/>
    <w:rsid w:val="002A5E41"/>
    <w:rsid w:val="003230A4"/>
    <w:rsid w:val="00333F05"/>
    <w:rsid w:val="00372E4C"/>
    <w:rsid w:val="00372FA2"/>
    <w:rsid w:val="0039703C"/>
    <w:rsid w:val="003A5DE3"/>
    <w:rsid w:val="003D69FA"/>
    <w:rsid w:val="003F45D5"/>
    <w:rsid w:val="0040456C"/>
    <w:rsid w:val="004203B7"/>
    <w:rsid w:val="0044318D"/>
    <w:rsid w:val="004466E1"/>
    <w:rsid w:val="00586C9E"/>
    <w:rsid w:val="005C3E2A"/>
    <w:rsid w:val="00672065"/>
    <w:rsid w:val="006756F2"/>
    <w:rsid w:val="00751515"/>
    <w:rsid w:val="0075444D"/>
    <w:rsid w:val="00762EA1"/>
    <w:rsid w:val="007C618C"/>
    <w:rsid w:val="0080614E"/>
    <w:rsid w:val="008A4BCE"/>
    <w:rsid w:val="008C626D"/>
    <w:rsid w:val="00957A38"/>
    <w:rsid w:val="00964236"/>
    <w:rsid w:val="00965F60"/>
    <w:rsid w:val="009B1253"/>
    <w:rsid w:val="009F469A"/>
    <w:rsid w:val="00A02DAD"/>
    <w:rsid w:val="00A54C3A"/>
    <w:rsid w:val="00AD5D9B"/>
    <w:rsid w:val="00AE4922"/>
    <w:rsid w:val="00B14A71"/>
    <w:rsid w:val="00B16FE6"/>
    <w:rsid w:val="00B25D61"/>
    <w:rsid w:val="00B27DAF"/>
    <w:rsid w:val="00BA3EEE"/>
    <w:rsid w:val="00BC6B5F"/>
    <w:rsid w:val="00C46846"/>
    <w:rsid w:val="00D36ED0"/>
    <w:rsid w:val="00D97DFA"/>
    <w:rsid w:val="00E44612"/>
    <w:rsid w:val="00E50CB6"/>
    <w:rsid w:val="00E740ED"/>
    <w:rsid w:val="00F22934"/>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cil.lancashire.gov.uk/ieListDocuments.aspx?MId=13588&amp;x=1&am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eaconcounsellingtrust.co.uk/workplace-chart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yperlink" Target="https://beaconcounsellingtrust.co.uk/bet-you-can-hel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aconcounsellingtrust.co.uk/about-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ce9bc56c434a279d99c720e836214ded">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397b26598d2463cb2ec5bac0c9ab228c"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5c0ec5-b946-4a68-849f-95ef2c375557">2Y4MS3S4F6CT-1127749235-76934</_dlc_DocId>
    <TaxCatchAll xmlns="125c0ec5-b946-4a68-849f-95ef2c375557" xsi:nil="true"/>
    <lcf76f155ced4ddcb4097134ff3c332f xmlns="620e20a1-df02-4e0a-b04f-3cb1ab8f6f12">
      <Terms xmlns="http://schemas.microsoft.com/office/infopath/2007/PartnerControls"/>
    </lcf76f155ced4ddcb4097134ff3c332f>
    <_dlc_DocIdUrl xmlns="125c0ec5-b946-4a68-849f-95ef2c375557">
      <Url>https://communityfutures386.sharepoint.com/sites/Business/_layouts/15/DocIdRedir.aspx?ID=2Y4MS3S4F6CT-1127749235-76934</Url>
      <Description>2Y4MS3S4F6CT-1127749235-76934</Description>
    </_dlc_DocIdUrl>
  </documentManagement>
</p:properties>
</file>

<file path=customXml/itemProps1.xml><?xml version="1.0" encoding="utf-8"?>
<ds:datastoreItem xmlns:ds="http://schemas.openxmlformats.org/officeDocument/2006/customXml" ds:itemID="{9F64A727-9294-49FB-87F5-F3EB29B4E327}"/>
</file>

<file path=customXml/itemProps2.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3.xml><?xml version="1.0" encoding="utf-8"?>
<ds:datastoreItem xmlns:ds="http://schemas.openxmlformats.org/officeDocument/2006/customXml" ds:itemID="{319FFA40-22F3-4921-BB54-C6FAEE52869A}">
  <ds:schemaRefs>
    <ds:schemaRef ds:uri="http://schemas.microsoft.com/sharepoint/v3/contenttype/forms"/>
  </ds:schemaRefs>
</ds:datastoreItem>
</file>

<file path=customXml/itemProps4.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 ds:uri="125c0ec5-b946-4a68-849f-95ef2c375557"/>
    <ds:schemaRef ds:uri="620e20a1-df02-4e0a-b04f-3cb1ab8f6f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Stephanie Gorner</cp:lastModifiedBy>
  <cp:revision>2</cp:revision>
  <dcterms:created xsi:type="dcterms:W3CDTF">2024-09-09T09:26:00Z</dcterms:created>
  <dcterms:modified xsi:type="dcterms:W3CDTF">2024-09-09T09:26:00Z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_dlc_DocIdItemGuid">
    <vt:lpwstr>24f46f5b-e41d-4cb2-9232-192e68d36b8a</vt:lpwstr>
  </property>
  <property fmtid="{D5CDD505-2E9C-101B-9397-08002B2CF9AE}" pid="4" name="MediaServiceImageTags">
    <vt:lpwstr/>
  </property>
</Properties>
</file>